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5"/>
        <w:rPr>
          <w:lang w:eastAsia="zh-CN"/>
        </w:rPr>
      </w:pPr>
    </w:p>
    <w:p>
      <w:pPr>
        <w:spacing w:before="54" w:line="364" w:lineRule="auto"/>
        <w:ind w:left="0" w:leftChars="0" w:right="30" w:rightChars="0" w:hanging="20" w:firstLineChars="0"/>
        <w:jc w:val="center"/>
        <w:rPr>
          <w:rFonts w:hint="eastAsia" w:ascii="黑体" w:eastAsia="黑体"/>
          <w:spacing w:val="-2"/>
          <w:sz w:val="44"/>
          <w:szCs w:val="44"/>
          <w:lang w:eastAsia="zh-CN"/>
        </w:rPr>
      </w:pPr>
      <w:r>
        <w:rPr>
          <w:rFonts w:hint="eastAsia" w:ascii="黑体" w:eastAsia="黑体"/>
          <w:spacing w:val="-2"/>
          <w:sz w:val="44"/>
          <w:szCs w:val="44"/>
          <w:lang w:eastAsia="zh-CN"/>
        </w:rPr>
        <w:t>辽宁省地方标准《医疗机构检查检验结果</w:t>
      </w:r>
    </w:p>
    <w:p>
      <w:pPr>
        <w:spacing w:before="54" w:line="364" w:lineRule="auto"/>
        <w:ind w:left="0" w:leftChars="0" w:right="30" w:rightChars="0" w:hanging="20" w:firstLineChars="0"/>
        <w:jc w:val="center"/>
        <w:rPr>
          <w:rFonts w:ascii="黑体" w:eastAsia="黑体"/>
          <w:sz w:val="44"/>
          <w:szCs w:val="44"/>
          <w:lang w:eastAsia="zh-CN"/>
        </w:rPr>
      </w:pPr>
      <w:r>
        <w:rPr>
          <w:rFonts w:hint="eastAsia" w:ascii="黑体" w:eastAsia="黑体"/>
          <w:spacing w:val="-2"/>
          <w:sz w:val="44"/>
          <w:szCs w:val="44"/>
          <w:lang w:eastAsia="zh-CN"/>
        </w:rPr>
        <w:t>互认数据传输及应用要求》编制说明</w:t>
      </w:r>
    </w:p>
    <w:p>
      <w:pPr>
        <w:widowControl/>
        <w:kinsoku w:val="0"/>
        <w:adjustRightInd w:val="0"/>
        <w:snapToGrid w:val="0"/>
        <w:spacing w:line="360" w:lineRule="auto"/>
        <w:ind w:firstLine="656"/>
        <w:textAlignment w:val="baseline"/>
        <w:rPr>
          <w:rFonts w:ascii="黑体" w:eastAsia="黑体"/>
          <w:spacing w:val="-2"/>
          <w:sz w:val="32"/>
          <w:szCs w:val="32"/>
          <w:lang w:eastAsia="zh-CN"/>
        </w:rPr>
      </w:pPr>
      <w:r>
        <w:rPr>
          <w:rFonts w:hint="eastAsia" w:ascii="黑体" w:eastAsia="黑体"/>
          <w:spacing w:val="-2"/>
          <w:sz w:val="32"/>
          <w:szCs w:val="32"/>
          <w:lang w:eastAsia="zh-CN"/>
        </w:rPr>
        <w:t xml:space="preserve">一、工作简介 </w:t>
      </w:r>
    </w:p>
    <w:p>
      <w:pPr>
        <w:widowControl/>
        <w:kinsoku w:val="0"/>
        <w:adjustRightInd w:val="0"/>
        <w:snapToGrid w:val="0"/>
        <w:spacing w:line="360" w:lineRule="auto"/>
        <w:ind w:firstLine="672" w:firstLineChars="200"/>
        <w:textAlignment w:val="baseline"/>
        <w:rPr>
          <w:rFonts w:hint="eastAsia" w:ascii="华文楷体" w:hAnsi="华文楷体" w:eastAsia="华文楷体" w:cs="华文楷体"/>
          <w:snapToGrid w:val="0"/>
          <w:color w:val="000000"/>
          <w:spacing w:val="8"/>
          <w:lang w:eastAsia="zh-CN"/>
        </w:rPr>
      </w:pPr>
      <w:r>
        <w:rPr>
          <w:rFonts w:hint="eastAsia" w:ascii="华文楷体" w:hAnsi="华文楷体" w:eastAsia="华文楷体" w:cs="华文楷体"/>
          <w:snapToGrid w:val="0"/>
          <w:color w:val="000000"/>
          <w:spacing w:val="8"/>
          <w:sz w:val="32"/>
          <w:szCs w:val="32"/>
          <w:lang w:eastAsia="zh-CN"/>
        </w:rPr>
        <w:t>(一）任务来源</w:t>
      </w:r>
    </w:p>
    <w:p>
      <w:pPr>
        <w:pStyle w:val="4"/>
        <w:adjustRightInd w:val="0"/>
        <w:snapToGrid w:val="0"/>
        <w:spacing w:line="360" w:lineRule="auto"/>
        <w:ind w:left="119" w:right="397" w:firstLine="604" w:firstLineChars="200"/>
        <w:jc w:val="both"/>
        <w:rPr>
          <w:spacing w:val="-1"/>
          <w:w w:val="95"/>
          <w:sz w:val="32"/>
          <w:szCs w:val="32"/>
          <w:lang w:eastAsia="zh-CN"/>
        </w:rPr>
      </w:pPr>
      <w:r>
        <w:rPr>
          <w:rFonts w:hint="eastAsia"/>
          <w:spacing w:val="-1"/>
          <w:w w:val="95"/>
          <w:sz w:val="32"/>
          <w:szCs w:val="32"/>
          <w:lang w:val="en-US" w:eastAsia="zh-CN"/>
        </w:rPr>
        <w:t>2025年初，</w:t>
      </w:r>
      <w:r>
        <w:rPr>
          <w:rFonts w:hint="eastAsia"/>
          <w:spacing w:val="-1"/>
          <w:w w:val="95"/>
          <w:sz w:val="32"/>
          <w:szCs w:val="32"/>
          <w:lang w:eastAsia="zh-CN"/>
        </w:rPr>
        <w:t>按照辽宁省</w:t>
      </w:r>
      <w:r>
        <w:rPr>
          <w:spacing w:val="-1"/>
          <w:w w:val="95"/>
          <w:sz w:val="32"/>
          <w:szCs w:val="32"/>
          <w:lang w:eastAsia="zh-CN"/>
        </w:rPr>
        <w:t>市场监督管理局下发</w:t>
      </w:r>
      <w:r>
        <w:rPr>
          <w:rFonts w:hint="eastAsia"/>
          <w:spacing w:val="-1"/>
          <w:w w:val="95"/>
          <w:sz w:val="32"/>
          <w:szCs w:val="32"/>
          <w:lang w:val="en-US" w:eastAsia="zh-CN"/>
        </w:rPr>
        <w:t>的</w:t>
      </w:r>
      <w:r>
        <w:rPr>
          <w:spacing w:val="-1"/>
          <w:w w:val="95"/>
          <w:sz w:val="32"/>
          <w:szCs w:val="32"/>
          <w:lang w:eastAsia="zh-CN"/>
        </w:rPr>
        <w:t>《</w:t>
      </w:r>
      <w:r>
        <w:rPr>
          <w:rFonts w:hint="eastAsia"/>
          <w:spacing w:val="-1"/>
          <w:w w:val="95"/>
          <w:sz w:val="32"/>
          <w:szCs w:val="32"/>
          <w:lang w:eastAsia="zh-CN"/>
        </w:rPr>
        <w:t>关于征集2025年度辽宁省地方标准制修订计划项目的通知</w:t>
      </w:r>
      <w:r>
        <w:rPr>
          <w:spacing w:val="-1"/>
          <w:w w:val="95"/>
          <w:sz w:val="32"/>
          <w:szCs w:val="32"/>
          <w:lang w:eastAsia="zh-CN"/>
        </w:rPr>
        <w:t>》</w:t>
      </w:r>
      <w:r>
        <w:rPr>
          <w:rFonts w:hint="eastAsia"/>
          <w:spacing w:val="-1"/>
          <w:w w:val="95"/>
          <w:sz w:val="32"/>
          <w:szCs w:val="32"/>
          <w:lang w:eastAsia="zh-CN"/>
        </w:rPr>
        <w:t>要求</w:t>
      </w:r>
      <w:r>
        <w:rPr>
          <w:spacing w:val="-1"/>
          <w:w w:val="95"/>
          <w:sz w:val="32"/>
          <w:szCs w:val="32"/>
          <w:lang w:eastAsia="zh-CN"/>
        </w:rPr>
        <w:t>，</w:t>
      </w:r>
      <w:r>
        <w:rPr>
          <w:rFonts w:hint="eastAsia"/>
          <w:spacing w:val="-1"/>
          <w:w w:val="95"/>
          <w:sz w:val="32"/>
          <w:szCs w:val="32"/>
          <w:lang w:eastAsia="zh-CN"/>
        </w:rPr>
        <w:t>由辽宁省卫生健康服务中心</w:t>
      </w:r>
      <w:r>
        <w:rPr>
          <w:rFonts w:hint="eastAsia"/>
          <w:spacing w:val="-1"/>
          <w:w w:val="95"/>
          <w:sz w:val="32"/>
          <w:szCs w:val="32"/>
          <w:lang w:val="en-US" w:eastAsia="zh-CN"/>
        </w:rPr>
        <w:t>提出</w:t>
      </w:r>
      <w:r>
        <w:rPr>
          <w:rFonts w:hint="eastAsia"/>
          <w:spacing w:val="-1"/>
          <w:w w:val="95"/>
          <w:sz w:val="32"/>
          <w:szCs w:val="32"/>
          <w:lang w:eastAsia="zh-CN"/>
        </w:rPr>
        <w:t>地方标准立项申请。</w:t>
      </w:r>
      <w:r>
        <w:rPr>
          <w:rFonts w:hint="eastAsia"/>
          <w:spacing w:val="-1"/>
          <w:w w:val="95"/>
          <w:sz w:val="32"/>
          <w:szCs w:val="32"/>
          <w:lang w:val="en-US" w:eastAsia="zh-CN"/>
        </w:rPr>
        <w:t>2025年12月，《辽宁省市场监督管理局关于印发2025年辽宁省地方标准立项计划的通知》（辽市监发〔2025〕28号），批准《医疗机构检查检验结果互认数据传输及应用要求》作为2025年辽宁省地方标准立项项目，立项编号为2025123，由辽宁省卫生健康服务中心牵头组织编制，辽宁省卫生健康委员会归口，任务来源明确。</w:t>
      </w:r>
    </w:p>
    <w:p>
      <w:pPr>
        <w:widowControl/>
        <w:kinsoku w:val="0"/>
        <w:adjustRightInd w:val="0"/>
        <w:snapToGrid w:val="0"/>
        <w:spacing w:line="360" w:lineRule="auto"/>
        <w:ind w:firstLine="672" w:firstLineChars="200"/>
        <w:textAlignment w:val="baseline"/>
        <w:rPr>
          <w:rFonts w:hint="eastAsia" w:ascii="华文楷体" w:hAnsi="华文楷体" w:eastAsia="华文楷体" w:cs="华文楷体"/>
          <w:snapToGrid w:val="0"/>
          <w:color w:val="000000"/>
          <w:spacing w:val="8"/>
          <w:sz w:val="32"/>
          <w:szCs w:val="32"/>
          <w:lang w:eastAsia="zh-CN"/>
        </w:rPr>
      </w:pPr>
      <w:r>
        <w:rPr>
          <w:rFonts w:hint="eastAsia" w:ascii="华文楷体" w:hAnsi="华文楷体" w:eastAsia="华文楷体" w:cs="华文楷体"/>
          <w:snapToGrid w:val="0"/>
          <w:color w:val="000000"/>
          <w:spacing w:val="8"/>
          <w:sz w:val="32"/>
          <w:szCs w:val="32"/>
          <w:lang w:eastAsia="zh-CN"/>
        </w:rPr>
        <w:t>（二）制定标准的必要性和意义</w:t>
      </w:r>
    </w:p>
    <w:p>
      <w:pPr>
        <w:pStyle w:val="4"/>
        <w:adjustRightInd w:val="0"/>
        <w:snapToGrid w:val="0"/>
        <w:spacing w:line="360" w:lineRule="auto"/>
        <w:ind w:left="119" w:right="397" w:firstLine="604" w:firstLineChars="200"/>
        <w:jc w:val="both"/>
        <w:rPr>
          <w:spacing w:val="-1"/>
          <w:w w:val="95"/>
          <w:sz w:val="32"/>
          <w:szCs w:val="32"/>
          <w:lang w:eastAsia="zh-CN"/>
        </w:rPr>
      </w:pPr>
      <w:r>
        <w:rPr>
          <w:rFonts w:hint="eastAsia"/>
          <w:spacing w:val="-1"/>
          <w:w w:val="95"/>
          <w:sz w:val="32"/>
          <w:szCs w:val="32"/>
          <w:lang w:eastAsia="zh-CN"/>
        </w:rPr>
        <w:t>2022年国家发布《医疗机构检查检验结果互认管理办法》（国卫医发〔2022〕6号），医疗机构应按照“以保障质量安全为底线，以质量控制合格为前提，以降低患者负担为导向，以满足诊疗需求为根本，以接诊医师判断为标准”的原则，开展检查检验结果互认工作。2023年10月政府印发《全国医疗卫生机构信息互通共享三年攻坚行动方案（2023—2025年）》（国卫办规划发〔2023〕19号），要求推动检查检验结果互通共享。2025年底，全国所有的二级公立医院要实现检查检验结果跨机构调阅。2024年11月政府印发《关于进一步推进医疗机构检查检验结果互认的指导意见》（国卫医政发〔2024〕37号）到2025年底，各紧密型医联体（含城市医疗集团和县域医共体）实现医联体内医疗机构间全部项目互认，各地市域内医疗机构间互认项目超过200项。到2027年底，各省域内医疗机构间互认项目超过300项；京津冀、长三角、成渝等区域内医疗机构互认项目数超过200项。到2030年，全国互认工作机制进一步健全完善，检查检验同质化水平进一步提高，结果互通共享体系基本建立，基本实现常见检查检验结果跨区域、跨医疗机构共享互认。</w:t>
      </w:r>
    </w:p>
    <w:p>
      <w:pPr>
        <w:pStyle w:val="4"/>
        <w:adjustRightInd w:val="0"/>
        <w:snapToGrid w:val="0"/>
        <w:spacing w:line="360" w:lineRule="auto"/>
        <w:ind w:left="119" w:right="397" w:firstLine="604" w:firstLineChars="200"/>
        <w:jc w:val="both"/>
        <w:rPr>
          <w:spacing w:val="-1"/>
          <w:w w:val="95"/>
          <w:sz w:val="32"/>
          <w:szCs w:val="32"/>
          <w:lang w:eastAsia="zh-CN"/>
        </w:rPr>
      </w:pPr>
      <w:r>
        <w:rPr>
          <w:rFonts w:hint="eastAsia"/>
          <w:spacing w:val="-1"/>
          <w:w w:val="95"/>
          <w:sz w:val="32"/>
          <w:szCs w:val="32"/>
          <w:lang w:eastAsia="zh-CN"/>
        </w:rPr>
        <w:t>为进一步推进医疗机构检查检验结果互认（以下简称“互认”）工作，规范医疗检查检验结果互认行为、保障医疗质量安全、节约医疗资源、提高医疗服务效率、改善居民“看病贵”的问题，特制定辽宁省《医疗机构检查检验结果互认数据传输及应用要求》。</w:t>
      </w:r>
    </w:p>
    <w:p>
      <w:pPr>
        <w:pStyle w:val="4"/>
        <w:adjustRightInd w:val="0"/>
        <w:snapToGrid w:val="0"/>
        <w:spacing w:line="360" w:lineRule="auto"/>
        <w:ind w:left="119" w:right="397" w:firstLine="604" w:firstLineChars="200"/>
        <w:jc w:val="both"/>
        <w:rPr>
          <w:spacing w:val="-1"/>
          <w:w w:val="95"/>
          <w:sz w:val="32"/>
          <w:szCs w:val="32"/>
          <w:lang w:eastAsia="zh-CN"/>
        </w:rPr>
      </w:pPr>
      <w:r>
        <w:rPr>
          <w:rFonts w:hint="eastAsia"/>
          <w:spacing w:val="-1"/>
          <w:w w:val="95"/>
          <w:sz w:val="32"/>
          <w:szCs w:val="32"/>
          <w:lang w:eastAsia="zh-CN"/>
        </w:rPr>
        <w:t>首先，在减轻患者负担方面，经济负担是避免患者在不同医院就诊时因重复检查检验而产生额外费用，特别是对于一些费用较高的检查项目，如磁共振成像（MRI）、计算机断层扫描（CT）等，为患者节省了医疗开支。时间负担是减少患者等待检查检验的时间，提高就医效率，使患者能够更快地接受后续治疗，尤其是对于急需治疗的患者，争取了宝贵的时间。</w:t>
      </w:r>
    </w:p>
    <w:p>
      <w:pPr>
        <w:pStyle w:val="4"/>
        <w:adjustRightInd w:val="0"/>
        <w:snapToGrid w:val="0"/>
        <w:spacing w:line="360" w:lineRule="auto"/>
        <w:ind w:left="119" w:right="397" w:firstLine="604" w:firstLineChars="200"/>
        <w:jc w:val="both"/>
        <w:rPr>
          <w:spacing w:val="-1"/>
          <w:w w:val="95"/>
          <w:sz w:val="32"/>
          <w:szCs w:val="32"/>
          <w:lang w:eastAsia="zh-CN"/>
        </w:rPr>
      </w:pPr>
      <w:r>
        <w:rPr>
          <w:rFonts w:hint="eastAsia"/>
          <w:spacing w:val="-1"/>
          <w:w w:val="95"/>
          <w:sz w:val="32"/>
          <w:szCs w:val="32"/>
          <w:lang w:eastAsia="zh-CN"/>
        </w:rPr>
        <w:t>其次，优化医疗资源配置方面，设备资源是减少各医院对检查检验设备的重复购置需求，使有限的医疗设备资源能够得到更充分的利用，提高设备的使用效率，避免资源浪费。人力资源是避免医务人员重复进行相同的检查检验操作和报告解读，使他们能够将更多的时间和精力投入到患者的诊断、治疗和护理等更重要的工作中，提高医疗服务的整体质量和效率。</w:t>
      </w:r>
    </w:p>
    <w:p>
      <w:pPr>
        <w:widowControl/>
        <w:spacing w:line="360" w:lineRule="auto"/>
        <w:ind w:firstLine="668" w:firstLineChars="200"/>
        <w:rPr>
          <w:rFonts w:ascii="华文楷体" w:hAnsi="华文楷体" w:eastAsia="华文楷体" w:cs="华文楷体"/>
          <w:lang w:eastAsia="zh-CN"/>
        </w:rPr>
      </w:pPr>
      <w:r>
        <w:rPr>
          <w:rFonts w:hint="eastAsia" w:ascii="华文楷体" w:hAnsi="华文楷体" w:eastAsia="华文楷体" w:cs="华文楷体"/>
          <w:spacing w:val="7"/>
          <w:position w:val="1"/>
          <w:sz w:val="32"/>
          <w:szCs w:val="32"/>
          <w:lang w:eastAsia="zh-CN"/>
        </w:rPr>
        <w:t>（三）</w:t>
      </w:r>
      <w:r>
        <w:rPr>
          <w:rFonts w:hint="eastAsia" w:ascii="华文楷体" w:hAnsi="华文楷体" w:eastAsia="华文楷体" w:cs="华文楷体"/>
          <w:spacing w:val="6"/>
          <w:position w:val="1"/>
          <w:sz w:val="32"/>
          <w:szCs w:val="32"/>
          <w:lang w:eastAsia="zh-CN"/>
        </w:rPr>
        <w:t>起草单位</w:t>
      </w:r>
    </w:p>
    <w:p>
      <w:pPr>
        <w:pStyle w:val="4"/>
        <w:adjustRightInd w:val="0"/>
        <w:snapToGrid w:val="0"/>
        <w:spacing w:line="360" w:lineRule="auto"/>
        <w:ind w:left="119" w:right="397" w:firstLine="648" w:firstLineChars="200"/>
        <w:jc w:val="both"/>
        <w:rPr>
          <w:snapToGrid w:val="0"/>
          <w:color w:val="000000"/>
          <w:spacing w:val="2"/>
          <w:sz w:val="32"/>
          <w:szCs w:val="32"/>
          <w:lang w:eastAsia="zh-CN"/>
        </w:rPr>
      </w:pPr>
      <w:r>
        <w:rPr>
          <w:rFonts w:hint="eastAsia"/>
          <w:snapToGrid w:val="0"/>
          <w:color w:val="000000"/>
          <w:spacing w:val="2"/>
          <w:sz w:val="32"/>
          <w:szCs w:val="32"/>
          <w:lang w:eastAsia="zh-CN"/>
        </w:rPr>
        <w:t>辽宁省卫生健康服务中心、大连医科大学附属第二医院、辽宁省人民医院、厦门市腾云易惠科技有限公司、易惠云安（北京）健康科技有限公司。</w:t>
      </w:r>
    </w:p>
    <w:p>
      <w:pPr>
        <w:widowControl/>
        <w:spacing w:line="360" w:lineRule="auto"/>
        <w:ind w:firstLine="676" w:firstLineChars="200"/>
        <w:rPr>
          <w:rFonts w:ascii="华文楷体" w:hAnsi="华文楷体" w:eastAsia="华文楷体" w:cs="华文楷体"/>
        </w:rPr>
      </w:pPr>
      <w:r>
        <w:rPr>
          <w:rFonts w:hint="eastAsia" w:ascii="华文楷体" w:hAnsi="华文楷体" w:eastAsia="华文楷体" w:cs="华文楷体"/>
          <w:spacing w:val="9"/>
          <w:position w:val="1"/>
          <w:sz w:val="32"/>
          <w:szCs w:val="32"/>
          <w:lang w:eastAsia="zh-CN"/>
        </w:rPr>
        <w:t>（四）</w:t>
      </w:r>
      <w:r>
        <w:rPr>
          <w:rFonts w:hint="eastAsia" w:ascii="华文楷体" w:hAnsi="华文楷体" w:eastAsia="华文楷体" w:cs="华文楷体"/>
          <w:spacing w:val="9"/>
          <w:position w:val="1"/>
          <w:sz w:val="32"/>
          <w:szCs w:val="32"/>
        </w:rPr>
        <w:t>主要起草人及其所做的工</w:t>
      </w:r>
      <w:r>
        <w:rPr>
          <w:rFonts w:hint="eastAsia" w:ascii="华文楷体" w:hAnsi="华文楷体" w:eastAsia="华文楷体" w:cs="华文楷体"/>
          <w:spacing w:val="7"/>
          <w:position w:val="1"/>
          <w:sz w:val="32"/>
          <w:szCs w:val="32"/>
        </w:rPr>
        <w:t>作</w:t>
      </w:r>
    </w:p>
    <w:p>
      <w:pPr>
        <w:pStyle w:val="4"/>
        <w:adjustRightInd w:val="0"/>
        <w:snapToGrid w:val="0"/>
        <w:spacing w:line="360" w:lineRule="auto"/>
        <w:ind w:left="119" w:right="397" w:firstLine="648" w:firstLineChars="200"/>
        <w:jc w:val="both"/>
        <w:rPr>
          <w:snapToGrid w:val="0"/>
          <w:color w:val="000000"/>
          <w:spacing w:val="2"/>
          <w:sz w:val="32"/>
          <w:szCs w:val="32"/>
          <w:lang w:eastAsia="zh-CN"/>
        </w:rPr>
      </w:pPr>
      <w:r>
        <w:rPr>
          <w:rFonts w:hint="eastAsia"/>
          <w:snapToGrid w:val="0"/>
          <w:color w:val="000000"/>
          <w:spacing w:val="2"/>
          <w:sz w:val="32"/>
          <w:szCs w:val="32"/>
          <w:lang w:eastAsia="zh-CN"/>
        </w:rPr>
        <w:t>本标准主要起草人为：</w:t>
      </w:r>
      <w:bookmarkStart w:id="0" w:name="OLE_LINK3"/>
      <w:bookmarkStart w:id="1" w:name="OLE_LINK4"/>
      <w:r>
        <w:rPr>
          <w:rFonts w:hint="eastAsia"/>
          <w:snapToGrid w:val="0"/>
          <w:color w:val="000000"/>
          <w:spacing w:val="2"/>
          <w:sz w:val="32"/>
          <w:szCs w:val="32"/>
          <w:lang w:eastAsia="zh-CN"/>
        </w:rPr>
        <w:t>孙宇、唐成海、赵然、聂晓阳、姚晓捷、孙岩国、朱立夫、赵友平、冯斌、许泽敏、宋扬。</w:t>
      </w:r>
      <w:bookmarkEnd w:id="0"/>
      <w:bookmarkEnd w:id="1"/>
    </w:p>
    <w:p>
      <w:pPr>
        <w:pStyle w:val="4"/>
        <w:adjustRightInd w:val="0"/>
        <w:snapToGrid w:val="0"/>
        <w:spacing w:line="360" w:lineRule="auto"/>
        <w:ind w:left="119" w:right="397" w:firstLine="648" w:firstLineChars="200"/>
        <w:jc w:val="both"/>
        <w:rPr>
          <w:snapToGrid w:val="0"/>
          <w:color w:val="000000"/>
          <w:spacing w:val="2"/>
          <w:sz w:val="32"/>
          <w:szCs w:val="32"/>
          <w:lang w:eastAsia="zh-CN"/>
        </w:rPr>
      </w:pPr>
      <w:r>
        <w:rPr>
          <w:rFonts w:hint="eastAsia"/>
          <w:snapToGrid w:val="0"/>
          <w:color w:val="000000"/>
          <w:spacing w:val="2"/>
          <w:sz w:val="32"/>
          <w:szCs w:val="32"/>
          <w:lang w:eastAsia="zh-CN"/>
        </w:rPr>
        <w:t>主要起草人所做工作见下表：</w:t>
      </w:r>
    </w:p>
    <w:tbl>
      <w:tblPr>
        <w:tblStyle w:val="12"/>
        <w:tblW w:w="866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0"/>
        <w:gridCol w:w="828"/>
        <w:gridCol w:w="1616"/>
        <w:gridCol w:w="2767"/>
        <w:gridCol w:w="268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770" w:type="dxa"/>
            <w:vAlign w:val="center"/>
          </w:tcPr>
          <w:p>
            <w:pPr>
              <w:spacing w:line="360" w:lineRule="auto"/>
              <w:jc w:val="center"/>
              <w:rPr>
                <w:b/>
                <w:bCs/>
                <w:sz w:val="24"/>
                <w:szCs w:val="24"/>
              </w:rPr>
            </w:pPr>
            <w:r>
              <w:rPr>
                <w:rFonts w:hint="eastAsia"/>
                <w:b/>
                <w:bCs/>
                <w:sz w:val="24"/>
                <w:szCs w:val="24"/>
              </w:rPr>
              <w:t>姓名</w:t>
            </w:r>
          </w:p>
        </w:tc>
        <w:tc>
          <w:tcPr>
            <w:tcW w:w="828" w:type="dxa"/>
            <w:vAlign w:val="center"/>
          </w:tcPr>
          <w:p>
            <w:pPr>
              <w:spacing w:line="360" w:lineRule="auto"/>
              <w:jc w:val="center"/>
              <w:rPr>
                <w:b/>
                <w:bCs/>
                <w:sz w:val="24"/>
                <w:szCs w:val="24"/>
              </w:rPr>
            </w:pPr>
            <w:r>
              <w:rPr>
                <w:rFonts w:hint="eastAsia"/>
                <w:b/>
                <w:bCs/>
                <w:sz w:val="24"/>
                <w:szCs w:val="24"/>
              </w:rPr>
              <w:t>性别</w:t>
            </w:r>
          </w:p>
        </w:tc>
        <w:tc>
          <w:tcPr>
            <w:tcW w:w="1616" w:type="dxa"/>
            <w:vAlign w:val="center"/>
          </w:tcPr>
          <w:p>
            <w:pPr>
              <w:spacing w:line="360" w:lineRule="auto"/>
              <w:jc w:val="center"/>
              <w:rPr>
                <w:b/>
                <w:bCs/>
                <w:sz w:val="24"/>
                <w:szCs w:val="24"/>
              </w:rPr>
            </w:pPr>
            <w:r>
              <w:rPr>
                <w:rFonts w:hint="eastAsia"/>
                <w:b/>
                <w:bCs/>
                <w:sz w:val="24"/>
                <w:szCs w:val="24"/>
              </w:rPr>
              <w:t>职务/职称</w:t>
            </w:r>
          </w:p>
        </w:tc>
        <w:tc>
          <w:tcPr>
            <w:tcW w:w="2767" w:type="dxa"/>
            <w:vAlign w:val="center"/>
          </w:tcPr>
          <w:p>
            <w:pPr>
              <w:spacing w:line="360" w:lineRule="auto"/>
              <w:jc w:val="center"/>
              <w:rPr>
                <w:b/>
                <w:bCs/>
                <w:sz w:val="24"/>
                <w:szCs w:val="24"/>
              </w:rPr>
            </w:pPr>
            <w:r>
              <w:rPr>
                <w:rFonts w:hint="eastAsia"/>
                <w:b/>
                <w:bCs/>
                <w:sz w:val="24"/>
                <w:szCs w:val="24"/>
              </w:rPr>
              <w:t>工作单位</w:t>
            </w:r>
          </w:p>
        </w:tc>
        <w:tc>
          <w:tcPr>
            <w:tcW w:w="2685" w:type="dxa"/>
            <w:vAlign w:val="center"/>
          </w:tcPr>
          <w:p>
            <w:pPr>
              <w:spacing w:line="360" w:lineRule="auto"/>
              <w:jc w:val="center"/>
              <w:rPr>
                <w:rFonts w:hint="default" w:eastAsia="仿宋"/>
                <w:b/>
                <w:bCs/>
                <w:sz w:val="24"/>
                <w:szCs w:val="24"/>
                <w:lang w:val="en-US" w:eastAsia="zh-CN"/>
              </w:rPr>
            </w:pPr>
            <w:r>
              <w:rPr>
                <w:rFonts w:hint="eastAsia"/>
                <w:b/>
                <w:bCs/>
                <w:sz w:val="24"/>
                <w:szCs w:val="24"/>
                <w:lang w:val="en-US" w:eastAsia="zh-CN"/>
              </w:rPr>
              <w:t>任务分配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770" w:type="dxa"/>
            <w:vAlign w:val="center"/>
          </w:tcPr>
          <w:p>
            <w:pPr>
              <w:spacing w:line="360" w:lineRule="auto"/>
              <w:jc w:val="center"/>
              <w:rPr>
                <w:sz w:val="24"/>
                <w:szCs w:val="24"/>
              </w:rPr>
            </w:pPr>
            <w:r>
              <w:rPr>
                <w:rFonts w:hint="eastAsia"/>
                <w:sz w:val="24"/>
                <w:szCs w:val="24"/>
                <w:lang w:eastAsia="zh-CN"/>
              </w:rPr>
              <w:t>孙宇</w:t>
            </w:r>
          </w:p>
        </w:tc>
        <w:tc>
          <w:tcPr>
            <w:tcW w:w="828" w:type="dxa"/>
            <w:vAlign w:val="center"/>
          </w:tcPr>
          <w:p>
            <w:pPr>
              <w:spacing w:line="360" w:lineRule="auto"/>
              <w:ind w:firstLine="120" w:firstLineChars="50"/>
              <w:rPr>
                <w:rFonts w:hint="default" w:eastAsia="仿宋"/>
                <w:sz w:val="24"/>
                <w:szCs w:val="24"/>
                <w:lang w:val="en-US" w:eastAsia="zh-CN"/>
              </w:rPr>
            </w:pPr>
            <w:r>
              <w:rPr>
                <w:rFonts w:hint="eastAsia"/>
                <w:sz w:val="24"/>
                <w:szCs w:val="24"/>
                <w:lang w:val="en-US" w:eastAsia="zh-CN"/>
              </w:rPr>
              <w:t>女</w:t>
            </w:r>
          </w:p>
        </w:tc>
        <w:tc>
          <w:tcPr>
            <w:tcW w:w="1616"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中心主任/正高</w:t>
            </w:r>
          </w:p>
        </w:tc>
        <w:tc>
          <w:tcPr>
            <w:tcW w:w="2767"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sz w:val="24"/>
                <w:szCs w:val="24"/>
                <w:lang w:val="en-US" w:eastAsia="zh-CN"/>
              </w:rPr>
            </w:pPr>
            <w:r>
              <w:rPr>
                <w:rFonts w:hint="eastAsia"/>
                <w:sz w:val="24"/>
                <w:szCs w:val="24"/>
                <w:lang w:val="en-US" w:eastAsia="zh-CN"/>
              </w:rPr>
              <w:t>辽宁省卫生健康服务中心</w:t>
            </w:r>
          </w:p>
        </w:tc>
        <w:tc>
          <w:tcPr>
            <w:tcW w:w="2685"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sz w:val="24"/>
                <w:szCs w:val="24"/>
                <w:lang w:val="en-US" w:eastAsia="zh-CN"/>
              </w:rPr>
            </w:pPr>
            <w:r>
              <w:rPr>
                <w:rFonts w:hint="eastAsia"/>
                <w:sz w:val="24"/>
                <w:szCs w:val="24"/>
                <w:lang w:val="en-US" w:eastAsia="zh-CN"/>
              </w:rPr>
              <w:t>总体负责、综合协调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5" w:hRule="atLeast"/>
          <w:jc w:val="center"/>
        </w:trPr>
        <w:tc>
          <w:tcPr>
            <w:tcW w:w="770" w:type="dxa"/>
            <w:vAlign w:val="center"/>
          </w:tcPr>
          <w:p>
            <w:pPr>
              <w:spacing w:line="360" w:lineRule="auto"/>
              <w:jc w:val="center"/>
              <w:rPr>
                <w:sz w:val="24"/>
                <w:szCs w:val="24"/>
              </w:rPr>
            </w:pPr>
            <w:r>
              <w:rPr>
                <w:rFonts w:hint="eastAsia"/>
                <w:sz w:val="24"/>
                <w:szCs w:val="24"/>
                <w:lang w:eastAsia="zh-CN"/>
              </w:rPr>
              <w:t>唐成海</w:t>
            </w:r>
          </w:p>
        </w:tc>
        <w:tc>
          <w:tcPr>
            <w:tcW w:w="828" w:type="dxa"/>
            <w:vAlign w:val="center"/>
          </w:tcPr>
          <w:p>
            <w:pPr>
              <w:spacing w:line="360" w:lineRule="auto"/>
              <w:jc w:val="center"/>
              <w:rPr>
                <w:rFonts w:hint="eastAsia" w:eastAsia="仿宋"/>
                <w:sz w:val="24"/>
                <w:szCs w:val="24"/>
                <w:lang w:val="en-US" w:eastAsia="zh-CN"/>
              </w:rPr>
            </w:pPr>
            <w:r>
              <w:rPr>
                <w:rFonts w:hint="eastAsia"/>
                <w:sz w:val="24"/>
                <w:szCs w:val="24"/>
                <w:lang w:val="en-US" w:eastAsia="zh-CN"/>
              </w:rPr>
              <w:t>男</w:t>
            </w:r>
          </w:p>
        </w:tc>
        <w:tc>
          <w:tcPr>
            <w:tcW w:w="1616"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中心党委书记/正高</w:t>
            </w:r>
          </w:p>
        </w:tc>
        <w:tc>
          <w:tcPr>
            <w:tcW w:w="2767"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辽宁省卫生健康服务中心</w:t>
            </w:r>
          </w:p>
        </w:tc>
        <w:tc>
          <w:tcPr>
            <w:tcW w:w="2685"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sz w:val="24"/>
                <w:szCs w:val="24"/>
                <w:lang w:val="en-US" w:eastAsia="zh-CN"/>
              </w:rPr>
            </w:pPr>
            <w:r>
              <w:rPr>
                <w:rFonts w:hint="eastAsia"/>
                <w:sz w:val="24"/>
                <w:szCs w:val="24"/>
                <w:lang w:val="en-US" w:eastAsia="zh-CN"/>
              </w:rPr>
              <w:t>项目负责人、业务指导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770" w:type="dxa"/>
            <w:vAlign w:val="center"/>
          </w:tcPr>
          <w:p>
            <w:pPr>
              <w:spacing w:line="360" w:lineRule="auto"/>
              <w:jc w:val="center"/>
              <w:rPr>
                <w:sz w:val="24"/>
                <w:szCs w:val="24"/>
              </w:rPr>
            </w:pPr>
            <w:r>
              <w:rPr>
                <w:rFonts w:hint="eastAsia"/>
                <w:sz w:val="24"/>
                <w:szCs w:val="24"/>
                <w:lang w:eastAsia="zh-CN"/>
              </w:rPr>
              <w:t>赵然</w:t>
            </w:r>
          </w:p>
        </w:tc>
        <w:tc>
          <w:tcPr>
            <w:tcW w:w="828" w:type="dxa"/>
            <w:vAlign w:val="center"/>
          </w:tcPr>
          <w:p>
            <w:pPr>
              <w:spacing w:line="360" w:lineRule="auto"/>
              <w:jc w:val="center"/>
              <w:rPr>
                <w:sz w:val="24"/>
                <w:szCs w:val="24"/>
              </w:rPr>
            </w:pPr>
            <w:r>
              <w:rPr>
                <w:rFonts w:hint="eastAsia"/>
                <w:sz w:val="24"/>
                <w:szCs w:val="24"/>
                <w:lang w:val="en-US" w:eastAsia="zh-CN"/>
              </w:rPr>
              <w:t>男</w:t>
            </w:r>
          </w:p>
        </w:tc>
        <w:tc>
          <w:tcPr>
            <w:tcW w:w="1616"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部门主任</w:t>
            </w:r>
          </w:p>
        </w:tc>
        <w:tc>
          <w:tcPr>
            <w:tcW w:w="2767"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辽宁省卫生健康服务中心</w:t>
            </w:r>
          </w:p>
        </w:tc>
        <w:tc>
          <w:tcPr>
            <w:tcW w:w="2685"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sz w:val="24"/>
                <w:szCs w:val="24"/>
                <w:lang w:val="en-US" w:eastAsia="zh-CN"/>
              </w:rPr>
            </w:pPr>
            <w:r>
              <w:rPr>
                <w:rFonts w:hint="eastAsia"/>
                <w:sz w:val="24"/>
                <w:szCs w:val="24"/>
                <w:lang w:val="en-US" w:eastAsia="zh-CN"/>
              </w:rPr>
              <w:t>组织协调、参与编写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770" w:type="dxa"/>
            <w:vAlign w:val="center"/>
          </w:tcPr>
          <w:p>
            <w:pPr>
              <w:spacing w:line="360" w:lineRule="auto"/>
              <w:jc w:val="center"/>
              <w:rPr>
                <w:sz w:val="24"/>
                <w:szCs w:val="24"/>
              </w:rPr>
            </w:pPr>
            <w:r>
              <w:rPr>
                <w:rFonts w:hint="eastAsia"/>
                <w:sz w:val="24"/>
                <w:szCs w:val="24"/>
                <w:lang w:eastAsia="zh-CN"/>
              </w:rPr>
              <w:t>聂晓阳</w:t>
            </w:r>
          </w:p>
        </w:tc>
        <w:tc>
          <w:tcPr>
            <w:tcW w:w="828" w:type="dxa"/>
            <w:vAlign w:val="center"/>
          </w:tcPr>
          <w:p>
            <w:pPr>
              <w:spacing w:line="360" w:lineRule="auto"/>
              <w:jc w:val="center"/>
              <w:rPr>
                <w:sz w:val="24"/>
                <w:szCs w:val="24"/>
              </w:rPr>
            </w:pPr>
            <w:r>
              <w:rPr>
                <w:rFonts w:hint="eastAsia"/>
                <w:sz w:val="24"/>
                <w:szCs w:val="24"/>
                <w:lang w:val="en-US" w:eastAsia="zh-CN"/>
              </w:rPr>
              <w:t>男</w:t>
            </w:r>
          </w:p>
        </w:tc>
        <w:tc>
          <w:tcPr>
            <w:tcW w:w="1616"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部门副主任</w:t>
            </w:r>
          </w:p>
        </w:tc>
        <w:tc>
          <w:tcPr>
            <w:tcW w:w="2767"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辽宁省卫生健康服务中心</w:t>
            </w:r>
          </w:p>
        </w:tc>
        <w:tc>
          <w:tcPr>
            <w:tcW w:w="2685"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sz w:val="24"/>
                <w:szCs w:val="24"/>
                <w:lang w:val="en-US" w:eastAsia="zh-CN"/>
              </w:rPr>
            </w:pPr>
            <w:r>
              <w:rPr>
                <w:rFonts w:hint="eastAsia"/>
                <w:sz w:val="24"/>
                <w:szCs w:val="24"/>
                <w:lang w:val="en-US" w:eastAsia="zh-CN"/>
              </w:rPr>
              <w:t>技术负责人、专家咨询、参与编写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770" w:type="dxa"/>
            <w:vAlign w:val="center"/>
          </w:tcPr>
          <w:p>
            <w:pPr>
              <w:spacing w:line="360" w:lineRule="auto"/>
              <w:jc w:val="center"/>
              <w:rPr>
                <w:sz w:val="24"/>
                <w:szCs w:val="24"/>
              </w:rPr>
            </w:pPr>
            <w:r>
              <w:rPr>
                <w:rFonts w:hint="eastAsia"/>
                <w:sz w:val="24"/>
                <w:szCs w:val="24"/>
                <w:lang w:eastAsia="zh-CN"/>
              </w:rPr>
              <w:t>姚晓捷</w:t>
            </w:r>
          </w:p>
        </w:tc>
        <w:tc>
          <w:tcPr>
            <w:tcW w:w="828" w:type="dxa"/>
            <w:vAlign w:val="center"/>
          </w:tcPr>
          <w:p>
            <w:pPr>
              <w:spacing w:line="360" w:lineRule="auto"/>
              <w:jc w:val="center"/>
              <w:rPr>
                <w:sz w:val="24"/>
                <w:szCs w:val="24"/>
              </w:rPr>
            </w:pPr>
            <w:r>
              <w:rPr>
                <w:rFonts w:hint="eastAsia"/>
                <w:sz w:val="24"/>
                <w:szCs w:val="24"/>
                <w:lang w:val="en-US" w:eastAsia="zh-CN"/>
              </w:rPr>
              <w:t>女</w:t>
            </w:r>
          </w:p>
        </w:tc>
        <w:tc>
          <w:tcPr>
            <w:tcW w:w="1616"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sz w:val="24"/>
                <w:szCs w:val="24"/>
                <w:lang w:val="en-US" w:eastAsia="zh-CN"/>
              </w:rPr>
            </w:pPr>
            <w:r>
              <w:rPr>
                <w:rFonts w:hint="eastAsia"/>
                <w:sz w:val="24"/>
                <w:szCs w:val="24"/>
                <w:lang w:val="en-US" w:eastAsia="zh-CN"/>
              </w:rPr>
              <w:t>部门副主任/副高</w:t>
            </w:r>
          </w:p>
        </w:tc>
        <w:tc>
          <w:tcPr>
            <w:tcW w:w="2767"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辽宁省卫生健康服务中心</w:t>
            </w:r>
          </w:p>
        </w:tc>
        <w:tc>
          <w:tcPr>
            <w:tcW w:w="2685"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sz w:val="24"/>
                <w:szCs w:val="24"/>
                <w:lang w:val="en-US" w:eastAsia="zh-CN"/>
              </w:rPr>
            </w:pPr>
            <w:r>
              <w:rPr>
                <w:rFonts w:hint="eastAsia"/>
                <w:sz w:val="24"/>
                <w:szCs w:val="24"/>
                <w:lang w:val="en-US" w:eastAsia="zh-CN"/>
              </w:rPr>
              <w:t>技术负责人、立项申请、参与编写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770" w:type="dxa"/>
            <w:vAlign w:val="center"/>
          </w:tcPr>
          <w:p>
            <w:pPr>
              <w:spacing w:line="360" w:lineRule="auto"/>
              <w:jc w:val="center"/>
              <w:rPr>
                <w:sz w:val="24"/>
                <w:szCs w:val="24"/>
              </w:rPr>
            </w:pPr>
            <w:r>
              <w:rPr>
                <w:rFonts w:hint="eastAsia"/>
                <w:sz w:val="24"/>
                <w:szCs w:val="24"/>
                <w:lang w:eastAsia="zh-CN"/>
              </w:rPr>
              <w:t>孙岩国</w:t>
            </w:r>
          </w:p>
        </w:tc>
        <w:tc>
          <w:tcPr>
            <w:tcW w:w="828" w:type="dxa"/>
            <w:vAlign w:val="center"/>
          </w:tcPr>
          <w:p>
            <w:pPr>
              <w:spacing w:line="360" w:lineRule="auto"/>
              <w:jc w:val="center"/>
              <w:rPr>
                <w:sz w:val="24"/>
                <w:szCs w:val="24"/>
              </w:rPr>
            </w:pPr>
            <w:r>
              <w:rPr>
                <w:rFonts w:hint="eastAsia"/>
                <w:sz w:val="24"/>
                <w:szCs w:val="24"/>
                <w:lang w:val="en-US" w:eastAsia="zh-CN"/>
              </w:rPr>
              <w:t>男</w:t>
            </w:r>
          </w:p>
        </w:tc>
        <w:tc>
          <w:tcPr>
            <w:tcW w:w="1616"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部门主任/正高</w:t>
            </w:r>
          </w:p>
        </w:tc>
        <w:tc>
          <w:tcPr>
            <w:tcW w:w="2767"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sz w:val="24"/>
                <w:szCs w:val="24"/>
                <w:lang w:val="en-US" w:eastAsia="zh-CN"/>
              </w:rPr>
            </w:pPr>
            <w:r>
              <w:rPr>
                <w:rFonts w:hint="eastAsia"/>
                <w:sz w:val="24"/>
                <w:szCs w:val="24"/>
                <w:lang w:val="en-US" w:eastAsia="zh-CN"/>
              </w:rPr>
              <w:t>大连医科大学附属第二医院</w:t>
            </w:r>
          </w:p>
        </w:tc>
        <w:tc>
          <w:tcPr>
            <w:tcW w:w="2685"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专家咨询、参与编写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770" w:type="dxa"/>
            <w:vAlign w:val="center"/>
          </w:tcPr>
          <w:p>
            <w:pPr>
              <w:spacing w:line="360" w:lineRule="auto"/>
              <w:jc w:val="center"/>
              <w:rPr>
                <w:sz w:val="24"/>
                <w:szCs w:val="24"/>
              </w:rPr>
            </w:pPr>
            <w:r>
              <w:rPr>
                <w:rFonts w:hint="eastAsia"/>
                <w:sz w:val="24"/>
                <w:szCs w:val="24"/>
                <w:lang w:eastAsia="zh-CN"/>
              </w:rPr>
              <w:t>朱立夫</w:t>
            </w:r>
          </w:p>
        </w:tc>
        <w:tc>
          <w:tcPr>
            <w:tcW w:w="828" w:type="dxa"/>
            <w:vAlign w:val="center"/>
          </w:tcPr>
          <w:p>
            <w:pPr>
              <w:spacing w:line="360" w:lineRule="auto"/>
              <w:jc w:val="center"/>
              <w:rPr>
                <w:sz w:val="24"/>
                <w:szCs w:val="24"/>
              </w:rPr>
            </w:pPr>
            <w:r>
              <w:rPr>
                <w:rFonts w:hint="eastAsia"/>
                <w:sz w:val="24"/>
                <w:szCs w:val="24"/>
                <w:lang w:val="en-US" w:eastAsia="zh-CN"/>
              </w:rPr>
              <w:t>男</w:t>
            </w:r>
          </w:p>
        </w:tc>
        <w:tc>
          <w:tcPr>
            <w:tcW w:w="1616"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部门主任/副高</w:t>
            </w:r>
          </w:p>
        </w:tc>
        <w:tc>
          <w:tcPr>
            <w:tcW w:w="2767"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sz w:val="24"/>
                <w:szCs w:val="24"/>
                <w:lang w:val="en-US" w:eastAsia="zh-CN"/>
              </w:rPr>
            </w:pPr>
            <w:r>
              <w:rPr>
                <w:rFonts w:hint="eastAsia"/>
                <w:sz w:val="24"/>
                <w:szCs w:val="24"/>
                <w:lang w:val="en-US" w:eastAsia="zh-CN"/>
              </w:rPr>
              <w:t>辽宁省人民医院</w:t>
            </w:r>
          </w:p>
        </w:tc>
        <w:tc>
          <w:tcPr>
            <w:tcW w:w="2685"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专家咨询、参与编写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770" w:type="dxa"/>
            <w:vAlign w:val="center"/>
          </w:tcPr>
          <w:p>
            <w:pPr>
              <w:spacing w:line="360" w:lineRule="auto"/>
              <w:jc w:val="center"/>
              <w:rPr>
                <w:sz w:val="24"/>
                <w:szCs w:val="24"/>
              </w:rPr>
            </w:pPr>
            <w:r>
              <w:rPr>
                <w:rFonts w:hint="eastAsia"/>
                <w:sz w:val="24"/>
                <w:szCs w:val="24"/>
                <w:lang w:eastAsia="zh-CN"/>
              </w:rPr>
              <w:t>赵友平</w:t>
            </w:r>
          </w:p>
        </w:tc>
        <w:tc>
          <w:tcPr>
            <w:tcW w:w="828" w:type="dxa"/>
            <w:vAlign w:val="center"/>
          </w:tcPr>
          <w:p>
            <w:pPr>
              <w:spacing w:line="360" w:lineRule="auto"/>
              <w:jc w:val="center"/>
              <w:rPr>
                <w:sz w:val="24"/>
                <w:szCs w:val="24"/>
              </w:rPr>
            </w:pPr>
            <w:r>
              <w:rPr>
                <w:rFonts w:hint="eastAsia"/>
                <w:sz w:val="24"/>
                <w:szCs w:val="24"/>
                <w:lang w:eastAsia="zh-CN"/>
              </w:rPr>
              <w:t>男</w:t>
            </w:r>
          </w:p>
        </w:tc>
        <w:tc>
          <w:tcPr>
            <w:tcW w:w="1616"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副总经理</w:t>
            </w:r>
          </w:p>
        </w:tc>
        <w:tc>
          <w:tcPr>
            <w:tcW w:w="2767"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厦门市腾云易惠科技有限公司</w:t>
            </w:r>
          </w:p>
        </w:tc>
        <w:tc>
          <w:tcPr>
            <w:tcW w:w="2685"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bookmarkStart w:id="21" w:name="_GoBack"/>
            <w:bookmarkEnd w:id="21"/>
            <w:r>
              <w:rPr>
                <w:rFonts w:hint="eastAsia"/>
                <w:sz w:val="24"/>
                <w:szCs w:val="24"/>
                <w:lang w:val="en-US" w:eastAsia="zh-CN"/>
              </w:rPr>
              <w:t>参与编写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770" w:type="dxa"/>
            <w:vAlign w:val="center"/>
          </w:tcPr>
          <w:p>
            <w:pPr>
              <w:spacing w:line="360" w:lineRule="auto"/>
              <w:jc w:val="center"/>
              <w:rPr>
                <w:sz w:val="24"/>
                <w:szCs w:val="24"/>
              </w:rPr>
            </w:pPr>
            <w:r>
              <w:rPr>
                <w:rFonts w:hint="eastAsia"/>
                <w:sz w:val="24"/>
                <w:szCs w:val="24"/>
                <w:lang w:eastAsia="zh-CN"/>
              </w:rPr>
              <w:t>冯斌</w:t>
            </w:r>
          </w:p>
        </w:tc>
        <w:tc>
          <w:tcPr>
            <w:tcW w:w="828" w:type="dxa"/>
            <w:vAlign w:val="center"/>
          </w:tcPr>
          <w:p>
            <w:pPr>
              <w:spacing w:line="360" w:lineRule="auto"/>
              <w:jc w:val="center"/>
              <w:rPr>
                <w:sz w:val="24"/>
                <w:szCs w:val="24"/>
              </w:rPr>
            </w:pPr>
            <w:r>
              <w:rPr>
                <w:rFonts w:hint="eastAsia"/>
                <w:sz w:val="24"/>
                <w:szCs w:val="24"/>
                <w:lang w:eastAsia="zh-CN"/>
              </w:rPr>
              <w:t>男</w:t>
            </w:r>
          </w:p>
        </w:tc>
        <w:tc>
          <w:tcPr>
            <w:tcW w:w="1616" w:type="dxa"/>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技术总监</w:t>
            </w:r>
          </w:p>
        </w:tc>
        <w:tc>
          <w:tcPr>
            <w:tcW w:w="2767"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易惠云安（北京）健康科技有限公司</w:t>
            </w:r>
          </w:p>
        </w:tc>
        <w:tc>
          <w:tcPr>
            <w:tcW w:w="2685" w:type="dxa"/>
            <w:shd w:val="clear" w:color="auto" w:fill="auto"/>
            <w:vAlign w:val="center"/>
          </w:tcPr>
          <w:p>
            <w:pPr>
              <w:spacing w:line="360" w:lineRule="auto"/>
              <w:jc w:val="center"/>
              <w:rPr>
                <w:sz w:val="24"/>
                <w:szCs w:val="24"/>
                <w:lang w:eastAsia="zh-CN"/>
              </w:rPr>
            </w:pPr>
            <w:r>
              <w:rPr>
                <w:rFonts w:hint="eastAsia"/>
                <w:sz w:val="24"/>
                <w:szCs w:val="24"/>
                <w:lang w:val="en-US" w:eastAsia="zh-CN"/>
              </w:rPr>
              <w:t>意见征求、参与编写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770" w:type="dxa"/>
            <w:shd w:val="clear" w:color="auto" w:fill="auto"/>
            <w:vAlign w:val="center"/>
          </w:tcPr>
          <w:p>
            <w:pPr>
              <w:spacing w:line="360" w:lineRule="auto"/>
              <w:jc w:val="center"/>
              <w:rPr>
                <w:sz w:val="24"/>
                <w:szCs w:val="24"/>
              </w:rPr>
            </w:pPr>
            <w:r>
              <w:rPr>
                <w:rFonts w:hint="eastAsia"/>
                <w:sz w:val="24"/>
                <w:szCs w:val="24"/>
                <w:lang w:eastAsia="zh-CN"/>
              </w:rPr>
              <w:t>许泽敏</w:t>
            </w:r>
          </w:p>
        </w:tc>
        <w:tc>
          <w:tcPr>
            <w:tcW w:w="828" w:type="dxa"/>
            <w:shd w:val="clear" w:color="auto" w:fill="auto"/>
            <w:vAlign w:val="center"/>
          </w:tcPr>
          <w:p>
            <w:pPr>
              <w:spacing w:line="360" w:lineRule="auto"/>
              <w:jc w:val="center"/>
              <w:rPr>
                <w:sz w:val="24"/>
                <w:szCs w:val="24"/>
              </w:rPr>
            </w:pPr>
            <w:r>
              <w:rPr>
                <w:rFonts w:hint="eastAsia"/>
                <w:sz w:val="24"/>
                <w:szCs w:val="24"/>
                <w:lang w:val="en-US" w:eastAsia="zh-CN"/>
              </w:rPr>
              <w:t>男</w:t>
            </w:r>
          </w:p>
        </w:tc>
        <w:tc>
          <w:tcPr>
            <w:tcW w:w="1616"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部门副主任/副高</w:t>
            </w:r>
          </w:p>
        </w:tc>
        <w:tc>
          <w:tcPr>
            <w:tcW w:w="2767"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辽宁省卫生健康服务中心</w:t>
            </w:r>
          </w:p>
        </w:tc>
        <w:tc>
          <w:tcPr>
            <w:tcW w:w="2685" w:type="dxa"/>
            <w:shd w:val="clear" w:color="auto" w:fill="auto"/>
            <w:vAlign w:val="center"/>
          </w:tcPr>
          <w:p>
            <w:pPr>
              <w:spacing w:line="360" w:lineRule="auto"/>
              <w:jc w:val="center"/>
              <w:rPr>
                <w:sz w:val="24"/>
                <w:szCs w:val="24"/>
                <w:lang w:eastAsia="zh-CN"/>
              </w:rPr>
            </w:pPr>
            <w:r>
              <w:rPr>
                <w:rFonts w:hint="eastAsia"/>
                <w:sz w:val="24"/>
                <w:szCs w:val="24"/>
                <w:lang w:val="en-US" w:eastAsia="zh-CN"/>
              </w:rPr>
              <w:t>参与编写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770" w:type="dxa"/>
            <w:shd w:val="clear" w:color="auto" w:fill="auto"/>
            <w:vAlign w:val="center"/>
          </w:tcPr>
          <w:p>
            <w:pPr>
              <w:spacing w:line="360" w:lineRule="auto"/>
              <w:jc w:val="center"/>
              <w:rPr>
                <w:sz w:val="24"/>
                <w:szCs w:val="24"/>
              </w:rPr>
            </w:pPr>
            <w:r>
              <w:rPr>
                <w:rFonts w:hint="eastAsia"/>
                <w:sz w:val="24"/>
                <w:szCs w:val="24"/>
                <w:lang w:eastAsia="zh-CN"/>
              </w:rPr>
              <w:t>宋扬</w:t>
            </w:r>
          </w:p>
        </w:tc>
        <w:tc>
          <w:tcPr>
            <w:tcW w:w="828" w:type="dxa"/>
            <w:shd w:val="clear" w:color="auto" w:fill="auto"/>
            <w:vAlign w:val="center"/>
          </w:tcPr>
          <w:p>
            <w:pPr>
              <w:spacing w:line="360" w:lineRule="auto"/>
              <w:jc w:val="center"/>
              <w:rPr>
                <w:sz w:val="24"/>
                <w:szCs w:val="24"/>
              </w:rPr>
            </w:pPr>
            <w:r>
              <w:rPr>
                <w:rFonts w:hint="eastAsia"/>
                <w:sz w:val="24"/>
                <w:szCs w:val="24"/>
                <w:lang w:val="en-US" w:eastAsia="zh-CN"/>
              </w:rPr>
              <w:t>男</w:t>
            </w:r>
          </w:p>
        </w:tc>
        <w:tc>
          <w:tcPr>
            <w:tcW w:w="1616"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部门主任/正高</w:t>
            </w:r>
          </w:p>
        </w:tc>
        <w:tc>
          <w:tcPr>
            <w:tcW w:w="2767" w:type="dxa"/>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sz w:val="24"/>
                <w:szCs w:val="24"/>
                <w:lang w:val="en-US" w:eastAsia="zh-CN"/>
              </w:rPr>
            </w:pPr>
            <w:r>
              <w:rPr>
                <w:rFonts w:hint="eastAsia"/>
                <w:sz w:val="24"/>
                <w:szCs w:val="24"/>
                <w:lang w:val="en-US" w:eastAsia="zh-CN"/>
              </w:rPr>
              <w:t>辽宁省卫生健康服务中心</w:t>
            </w:r>
          </w:p>
        </w:tc>
        <w:tc>
          <w:tcPr>
            <w:tcW w:w="2685" w:type="dxa"/>
            <w:shd w:val="clear" w:color="auto" w:fill="auto"/>
            <w:vAlign w:val="center"/>
          </w:tcPr>
          <w:p>
            <w:pPr>
              <w:spacing w:line="360" w:lineRule="auto"/>
              <w:jc w:val="center"/>
              <w:rPr>
                <w:sz w:val="24"/>
                <w:szCs w:val="24"/>
                <w:lang w:eastAsia="zh-CN"/>
              </w:rPr>
            </w:pPr>
            <w:r>
              <w:rPr>
                <w:rFonts w:hint="eastAsia"/>
                <w:sz w:val="24"/>
                <w:szCs w:val="24"/>
                <w:lang w:val="en-US" w:eastAsia="zh-CN"/>
              </w:rPr>
              <w:t>参与编写</w:t>
            </w:r>
          </w:p>
        </w:tc>
      </w:tr>
    </w:tbl>
    <w:p>
      <w:pPr>
        <w:pStyle w:val="4"/>
        <w:adjustRightInd w:val="0"/>
        <w:snapToGrid w:val="0"/>
        <w:spacing w:line="360" w:lineRule="auto"/>
        <w:ind w:left="119" w:right="397" w:firstLine="528" w:firstLineChars="200"/>
        <w:jc w:val="both"/>
        <w:rPr>
          <w:rFonts w:hint="eastAsia"/>
          <w:spacing w:val="-1"/>
          <w:w w:val="95"/>
          <w:lang w:eastAsia="zh-CN"/>
        </w:rPr>
      </w:pPr>
    </w:p>
    <w:p>
      <w:pPr>
        <w:tabs>
          <w:tab w:val="left" w:pos="958"/>
        </w:tabs>
        <w:ind w:firstLine="676" w:firstLineChars="200"/>
        <w:rPr>
          <w:rFonts w:ascii="黑体" w:eastAsia="黑体"/>
          <w:sz w:val="28"/>
          <w:lang w:eastAsia="zh-CN"/>
        </w:rPr>
      </w:pPr>
      <w:r>
        <w:rPr>
          <w:rFonts w:hint="eastAsia" w:ascii="华文楷体" w:hAnsi="华文楷体" w:eastAsia="华文楷体" w:cs="华文楷体"/>
          <w:spacing w:val="9"/>
          <w:position w:val="1"/>
          <w:sz w:val="32"/>
          <w:szCs w:val="32"/>
          <w:lang w:eastAsia="zh-CN"/>
        </w:rPr>
        <w:t>（五）</w:t>
      </w:r>
      <w:r>
        <w:rPr>
          <w:rFonts w:hint="eastAsia" w:ascii="黑体" w:eastAsia="黑体"/>
          <w:spacing w:val="-4"/>
          <w:sz w:val="28"/>
          <w:lang w:eastAsia="zh-CN"/>
        </w:rPr>
        <w:t>主要工作过程</w:t>
      </w:r>
    </w:p>
    <w:p>
      <w:pPr>
        <w:pStyle w:val="4"/>
        <w:spacing w:before="8"/>
        <w:rPr>
          <w:rFonts w:ascii="黑体"/>
          <w:sz w:val="20"/>
          <w:lang w:eastAsia="zh-CN"/>
        </w:rPr>
      </w:pPr>
    </w:p>
    <w:p>
      <w:pPr>
        <w:widowControl/>
        <w:kinsoku w:val="0"/>
        <w:adjustRightInd w:val="0"/>
        <w:snapToGrid w:val="0"/>
        <w:spacing w:line="360" w:lineRule="auto"/>
        <w:ind w:firstLine="553"/>
        <w:textAlignment w:val="baseline"/>
        <w:rPr>
          <w:snapToGrid w:val="0"/>
          <w:color w:val="000000"/>
          <w:spacing w:val="2"/>
          <w:sz w:val="32"/>
          <w:szCs w:val="32"/>
          <w:lang w:eastAsia="zh-CN"/>
        </w:rPr>
      </w:pPr>
      <w:r>
        <w:rPr>
          <w:rFonts w:hint="eastAsia"/>
          <w:snapToGrid w:val="0"/>
          <w:color w:val="000000"/>
          <w:spacing w:val="2"/>
          <w:sz w:val="32"/>
          <w:szCs w:val="32"/>
          <w:lang w:eastAsia="zh-CN"/>
        </w:rPr>
        <w:t>2024 年 12 月，召开标准启动会，由辽宁省卫生健康服务中心组织专业领域人员成立标准起草工作小组，确立工作方案，并按照项目要求，明确人员任务分工，确定工作重点并编制工作计划。</w:t>
      </w:r>
    </w:p>
    <w:p>
      <w:pPr>
        <w:widowControl/>
        <w:kinsoku w:val="0"/>
        <w:adjustRightInd w:val="0"/>
        <w:snapToGrid w:val="0"/>
        <w:spacing w:line="360" w:lineRule="auto"/>
        <w:ind w:firstLine="553"/>
        <w:textAlignment w:val="baseline"/>
        <w:rPr>
          <w:snapToGrid w:val="0"/>
          <w:color w:val="000000"/>
          <w:spacing w:val="2"/>
          <w:sz w:val="32"/>
          <w:szCs w:val="32"/>
          <w:lang w:eastAsia="zh-CN"/>
        </w:rPr>
      </w:pPr>
      <w:r>
        <w:rPr>
          <w:rFonts w:hint="eastAsia"/>
          <w:snapToGrid w:val="0"/>
          <w:color w:val="000000"/>
          <w:spacing w:val="2"/>
          <w:sz w:val="32"/>
          <w:szCs w:val="32"/>
          <w:lang w:eastAsia="zh-CN"/>
        </w:rPr>
        <w:t>2024 年 12 月，工作小组结合本标准编制目的，就检查检验结果互认的建设工作的具体内容广泛查阅了相关法律法规、标准文件等资料，完成了资料的收集，明确了标准制定的范围，搭建标准架构并确定主要内容。</w:t>
      </w:r>
    </w:p>
    <w:p>
      <w:pPr>
        <w:widowControl/>
        <w:kinsoku w:val="0"/>
        <w:adjustRightInd w:val="0"/>
        <w:snapToGrid w:val="0"/>
        <w:spacing w:line="360" w:lineRule="auto"/>
        <w:ind w:firstLine="553"/>
        <w:textAlignment w:val="baseline"/>
        <w:rPr>
          <w:snapToGrid w:val="0"/>
          <w:color w:val="000000"/>
          <w:spacing w:val="2"/>
          <w:sz w:val="32"/>
          <w:szCs w:val="32"/>
          <w:lang w:eastAsia="zh-CN"/>
        </w:rPr>
      </w:pPr>
      <w:r>
        <w:rPr>
          <w:rFonts w:hint="eastAsia"/>
          <w:snapToGrid w:val="0"/>
          <w:color w:val="000000"/>
          <w:spacing w:val="2"/>
          <w:sz w:val="32"/>
          <w:szCs w:val="32"/>
          <w:lang w:eastAsia="zh-CN"/>
        </w:rPr>
        <w:t>2025 年 1 月至 3 月，工作小组细致分析了医疗机构检查检验结果互认建设情况在参照国家技术性指导文件的基础上，以现场访谈、行业调研等形式在大连医科大学附属第二医院、辽宁省人民医院等医院进行调研，结合医院实际管理经验，对所收集到的信息进行认真分析、理解和总结，经过多次深入交流与探讨，提炼梳理形成了标准工作组讨论稿。</w:t>
      </w:r>
    </w:p>
    <w:p>
      <w:pPr>
        <w:widowControl/>
        <w:kinsoku w:val="0"/>
        <w:adjustRightInd w:val="0"/>
        <w:snapToGrid w:val="0"/>
        <w:spacing w:line="360" w:lineRule="auto"/>
        <w:ind w:firstLine="553"/>
        <w:textAlignment w:val="baseline"/>
        <w:rPr>
          <w:snapToGrid w:val="0"/>
          <w:color w:val="000000"/>
          <w:spacing w:val="2"/>
          <w:lang w:eastAsia="zh-CN"/>
        </w:rPr>
      </w:pPr>
      <w:r>
        <w:rPr>
          <w:rFonts w:hint="eastAsia"/>
          <w:snapToGrid w:val="0"/>
          <w:color w:val="000000"/>
          <w:spacing w:val="2"/>
          <w:sz w:val="32"/>
          <w:szCs w:val="32"/>
          <w:lang w:eastAsia="zh-CN"/>
        </w:rPr>
        <w:t>2025年3月-2025年1</w:t>
      </w:r>
      <w:r>
        <w:rPr>
          <w:snapToGrid w:val="0"/>
          <w:color w:val="000000"/>
          <w:spacing w:val="2"/>
          <w:sz w:val="32"/>
          <w:szCs w:val="32"/>
          <w:lang w:eastAsia="zh-CN"/>
        </w:rPr>
        <w:t>2</w:t>
      </w:r>
      <w:r>
        <w:rPr>
          <w:rFonts w:hint="eastAsia"/>
          <w:snapToGrid w:val="0"/>
          <w:color w:val="000000"/>
          <w:spacing w:val="2"/>
          <w:sz w:val="32"/>
          <w:szCs w:val="32"/>
          <w:lang w:eastAsia="zh-CN"/>
        </w:rPr>
        <w:t>月，编制小组在此期间通过线上会议等形式进行了专家咨询。征求意见专家涉及互认范围、传输安全、引用文件等十余位专家，共计收到反馈建议2</w:t>
      </w:r>
      <w:r>
        <w:rPr>
          <w:snapToGrid w:val="0"/>
          <w:color w:val="000000"/>
          <w:spacing w:val="2"/>
          <w:sz w:val="32"/>
          <w:szCs w:val="32"/>
          <w:lang w:eastAsia="zh-CN"/>
        </w:rPr>
        <w:t>0</w:t>
      </w:r>
      <w:r>
        <w:rPr>
          <w:rFonts w:hint="eastAsia"/>
          <w:snapToGrid w:val="0"/>
          <w:color w:val="000000"/>
          <w:spacing w:val="2"/>
          <w:sz w:val="32"/>
          <w:szCs w:val="32"/>
          <w:lang w:eastAsia="zh-CN"/>
        </w:rPr>
        <w:t>条，编制小组对各位专家提出的修改意见逐一研究，积极采纳建设性意见，并对草案部分内容进行了修改。</w:t>
      </w:r>
    </w:p>
    <w:p>
      <w:pPr>
        <w:widowControl/>
        <w:kinsoku w:val="0"/>
        <w:adjustRightInd w:val="0"/>
        <w:snapToGrid w:val="0"/>
        <w:spacing w:line="360" w:lineRule="auto"/>
        <w:ind w:firstLine="553"/>
        <w:textAlignment w:val="baseline"/>
        <w:rPr>
          <w:snapToGrid w:val="0"/>
          <w:color w:val="000000"/>
          <w:spacing w:val="2"/>
          <w:lang w:eastAsia="zh-CN"/>
        </w:rPr>
      </w:pPr>
      <w:r>
        <w:rPr>
          <w:rFonts w:hint="eastAsia"/>
          <w:snapToGrid w:val="0"/>
          <w:color w:val="000000"/>
          <w:spacing w:val="2"/>
          <w:sz w:val="32"/>
          <w:szCs w:val="32"/>
          <w:lang w:eastAsia="zh-CN"/>
        </w:rPr>
        <w:t>202</w:t>
      </w:r>
      <w:r>
        <w:rPr>
          <w:snapToGrid w:val="0"/>
          <w:color w:val="000000"/>
          <w:spacing w:val="2"/>
          <w:sz w:val="32"/>
          <w:szCs w:val="32"/>
          <w:lang w:eastAsia="zh-CN"/>
        </w:rPr>
        <w:t>6</w:t>
      </w:r>
      <w:r>
        <w:rPr>
          <w:rFonts w:hint="eastAsia"/>
          <w:snapToGrid w:val="0"/>
          <w:color w:val="000000"/>
          <w:spacing w:val="2"/>
          <w:sz w:val="32"/>
          <w:szCs w:val="32"/>
          <w:lang w:eastAsia="zh-CN"/>
        </w:rPr>
        <w:t>年</w:t>
      </w:r>
      <w:r>
        <w:rPr>
          <w:snapToGrid w:val="0"/>
          <w:color w:val="000000"/>
          <w:spacing w:val="2"/>
          <w:sz w:val="32"/>
          <w:szCs w:val="32"/>
          <w:lang w:eastAsia="zh-CN"/>
        </w:rPr>
        <w:t>1</w:t>
      </w:r>
      <w:r>
        <w:rPr>
          <w:rFonts w:hint="eastAsia"/>
          <w:snapToGrid w:val="0"/>
          <w:color w:val="000000"/>
          <w:spacing w:val="2"/>
          <w:sz w:val="32"/>
          <w:szCs w:val="32"/>
          <w:lang w:eastAsia="zh-CN"/>
        </w:rPr>
        <w:t>月-2026年</w:t>
      </w:r>
      <w:r>
        <w:rPr>
          <w:snapToGrid w:val="0"/>
          <w:color w:val="000000"/>
          <w:spacing w:val="2"/>
          <w:sz w:val="32"/>
          <w:szCs w:val="32"/>
          <w:lang w:eastAsia="zh-CN"/>
        </w:rPr>
        <w:t>5</w:t>
      </w:r>
      <w:r>
        <w:rPr>
          <w:rFonts w:hint="eastAsia"/>
          <w:snapToGrid w:val="0"/>
          <w:color w:val="000000"/>
          <w:spacing w:val="2"/>
          <w:sz w:val="32"/>
          <w:szCs w:val="32"/>
          <w:lang w:eastAsia="zh-CN"/>
        </w:rPr>
        <w:t>月，编制小组中心重新对专家建议的基础上修改的标准进行再研讨，重点从内容条款逐条讨论，针对相关技术背景及实际情况需求进行了充分探讨和交流，并对标准内容的科学性、可行性和适用性展开讨论，总结检查检验结果互认数据传输及应用过程中形成的经验和理念，经过分析和整理，确定了标准征求意见稿。</w:t>
      </w:r>
    </w:p>
    <w:p>
      <w:pPr>
        <w:pStyle w:val="4"/>
        <w:spacing w:line="417" w:lineRule="auto"/>
        <w:ind w:left="676" w:right="2545"/>
        <w:rPr>
          <w:rFonts w:ascii="黑体" w:eastAsia="黑体"/>
          <w:lang w:eastAsia="zh-CN"/>
        </w:rPr>
      </w:pPr>
      <w:r>
        <w:rPr>
          <w:rFonts w:hint="eastAsia" w:ascii="黑体" w:eastAsia="黑体"/>
          <w:spacing w:val="-2"/>
          <w:lang w:eastAsia="zh-CN"/>
        </w:rPr>
        <w:t>二、标准编制原则和确定标准主要内容的论据 1.标准编制原则</w:t>
      </w:r>
    </w:p>
    <w:p>
      <w:pPr>
        <w:pStyle w:val="13"/>
        <w:numPr>
          <w:ilvl w:val="1"/>
          <w:numId w:val="3"/>
        </w:numPr>
        <w:tabs>
          <w:tab w:val="left" w:pos="1236"/>
        </w:tabs>
        <w:jc w:val="both"/>
        <w:rPr>
          <w:sz w:val="32"/>
          <w:szCs w:val="32"/>
        </w:rPr>
      </w:pPr>
      <w:r>
        <w:rPr>
          <w:spacing w:val="-5"/>
          <w:sz w:val="32"/>
          <w:szCs w:val="32"/>
        </w:rPr>
        <w:t>规范性</w:t>
      </w:r>
    </w:p>
    <w:p>
      <w:pPr>
        <w:pStyle w:val="4"/>
        <w:spacing w:before="8"/>
        <w:rPr>
          <w:sz w:val="20"/>
        </w:rPr>
      </w:pPr>
    </w:p>
    <w:p>
      <w:pPr>
        <w:pStyle w:val="4"/>
        <w:spacing w:line="417" w:lineRule="auto"/>
        <w:ind w:left="117" w:right="393" w:firstLine="559"/>
        <w:jc w:val="both"/>
        <w:rPr>
          <w:sz w:val="32"/>
          <w:szCs w:val="32"/>
          <w:lang w:eastAsia="zh-CN"/>
        </w:rPr>
      </w:pPr>
      <w:r>
        <w:rPr>
          <w:spacing w:val="-15"/>
          <w:sz w:val="32"/>
          <w:szCs w:val="32"/>
          <w:lang w:eastAsia="zh-CN"/>
        </w:rPr>
        <w:t xml:space="preserve">本标准的结构、编写规则和技术内容要素的确定是严格按照 </w:t>
      </w:r>
      <w:r>
        <w:rPr>
          <w:spacing w:val="-2"/>
          <w:sz w:val="32"/>
          <w:szCs w:val="32"/>
          <w:lang w:eastAsia="zh-CN"/>
        </w:rPr>
        <w:t xml:space="preserve">GB/T </w:t>
      </w:r>
      <w:r>
        <w:rPr>
          <w:spacing w:val="-4"/>
          <w:sz w:val="32"/>
          <w:szCs w:val="32"/>
          <w:lang w:eastAsia="zh-CN"/>
        </w:rPr>
        <w:t>1.1-2020</w:t>
      </w:r>
      <w:r>
        <w:rPr>
          <w:spacing w:val="-15"/>
          <w:sz w:val="32"/>
          <w:szCs w:val="32"/>
          <w:lang w:eastAsia="zh-CN"/>
        </w:rPr>
        <w:t xml:space="preserve"> 《标准化工作导则 第 </w:t>
      </w:r>
      <w:r>
        <w:rPr>
          <w:spacing w:val="-4"/>
          <w:sz w:val="32"/>
          <w:szCs w:val="32"/>
          <w:lang w:eastAsia="zh-CN"/>
        </w:rPr>
        <w:t>1</w:t>
      </w:r>
      <w:r>
        <w:rPr>
          <w:spacing w:val="-10"/>
          <w:sz w:val="32"/>
          <w:szCs w:val="32"/>
          <w:lang w:eastAsia="zh-CN"/>
        </w:rPr>
        <w:t xml:space="preserve"> 部分：标准化文件的结构和起草规</w:t>
      </w:r>
      <w:r>
        <w:rPr>
          <w:spacing w:val="-2"/>
          <w:sz w:val="32"/>
          <w:szCs w:val="32"/>
          <w:lang w:eastAsia="zh-CN"/>
        </w:rPr>
        <w:t>则》的要求和规定进行编制。</w:t>
      </w:r>
    </w:p>
    <w:p>
      <w:pPr>
        <w:pStyle w:val="13"/>
        <w:numPr>
          <w:ilvl w:val="1"/>
          <w:numId w:val="3"/>
        </w:numPr>
        <w:tabs>
          <w:tab w:val="left" w:pos="1236"/>
        </w:tabs>
        <w:spacing w:line="360" w:lineRule="auto"/>
        <w:jc w:val="both"/>
        <w:rPr>
          <w:sz w:val="32"/>
          <w:szCs w:val="32"/>
        </w:rPr>
      </w:pPr>
      <w:r>
        <w:rPr>
          <w:spacing w:val="-5"/>
          <w:sz w:val="32"/>
          <w:szCs w:val="32"/>
        </w:rPr>
        <w:t>适用性</w:t>
      </w:r>
    </w:p>
    <w:p>
      <w:pPr>
        <w:pStyle w:val="4"/>
        <w:spacing w:line="417" w:lineRule="auto"/>
        <w:ind w:left="117" w:right="392" w:firstLine="559"/>
        <w:jc w:val="both"/>
        <w:rPr>
          <w:sz w:val="32"/>
          <w:szCs w:val="32"/>
          <w:lang w:eastAsia="zh-CN"/>
        </w:rPr>
      </w:pPr>
      <w:r>
        <w:rPr>
          <w:spacing w:val="-6"/>
          <w:sz w:val="32"/>
          <w:szCs w:val="32"/>
          <w:lang w:eastAsia="zh-CN"/>
        </w:rPr>
        <w:t>本标准充分考虑辽宁省</w:t>
      </w:r>
      <w:r>
        <w:rPr>
          <w:rFonts w:hint="eastAsia"/>
          <w:spacing w:val="-6"/>
          <w:sz w:val="32"/>
          <w:szCs w:val="32"/>
          <w:lang w:eastAsia="zh-CN"/>
        </w:rPr>
        <w:t>检查检验结果互认</w:t>
      </w:r>
      <w:r>
        <w:rPr>
          <w:spacing w:val="-6"/>
          <w:sz w:val="32"/>
          <w:szCs w:val="32"/>
          <w:lang w:eastAsia="zh-CN"/>
        </w:rPr>
        <w:t>建设的实际情况，结合现</w:t>
      </w:r>
      <w:r>
        <w:rPr>
          <w:spacing w:val="-4"/>
          <w:sz w:val="32"/>
          <w:szCs w:val="32"/>
          <w:lang w:eastAsia="zh-CN"/>
        </w:rPr>
        <w:t>有</w:t>
      </w:r>
      <w:r>
        <w:rPr>
          <w:rFonts w:hint="eastAsia"/>
          <w:spacing w:val="-4"/>
          <w:sz w:val="32"/>
          <w:szCs w:val="32"/>
          <w:lang w:eastAsia="zh-CN"/>
        </w:rPr>
        <w:t>电子病历的</w:t>
      </w:r>
      <w:r>
        <w:rPr>
          <w:spacing w:val="-4"/>
          <w:sz w:val="32"/>
          <w:szCs w:val="32"/>
          <w:lang w:eastAsia="zh-CN"/>
        </w:rPr>
        <w:t>规章、制度等规定，具有科学性、实用性和可操作性，有利于保证</w:t>
      </w:r>
      <w:r>
        <w:rPr>
          <w:rFonts w:hint="eastAsia"/>
          <w:spacing w:val="-4"/>
          <w:sz w:val="32"/>
          <w:szCs w:val="32"/>
          <w:lang w:eastAsia="zh-CN"/>
        </w:rPr>
        <w:t>检查检验结果互认的</w:t>
      </w:r>
      <w:r>
        <w:rPr>
          <w:spacing w:val="-4"/>
          <w:sz w:val="32"/>
          <w:szCs w:val="32"/>
          <w:lang w:eastAsia="zh-CN"/>
        </w:rPr>
        <w:t>建设需求，提高工作效率，促进</w:t>
      </w:r>
      <w:r>
        <w:rPr>
          <w:rFonts w:hint="eastAsia"/>
          <w:spacing w:val="-4"/>
          <w:sz w:val="32"/>
          <w:szCs w:val="32"/>
          <w:lang w:eastAsia="zh-CN"/>
        </w:rPr>
        <w:t>检查检验结果互认</w:t>
      </w:r>
      <w:r>
        <w:rPr>
          <w:spacing w:val="-2"/>
          <w:sz w:val="32"/>
          <w:szCs w:val="32"/>
          <w:lang w:eastAsia="zh-CN"/>
        </w:rPr>
        <w:t>等流程工作规范化。</w:t>
      </w:r>
    </w:p>
    <w:p>
      <w:pPr>
        <w:pStyle w:val="13"/>
        <w:numPr>
          <w:ilvl w:val="1"/>
          <w:numId w:val="3"/>
        </w:numPr>
        <w:tabs>
          <w:tab w:val="left" w:pos="1236"/>
        </w:tabs>
        <w:spacing w:line="360" w:lineRule="auto"/>
        <w:jc w:val="both"/>
        <w:rPr>
          <w:spacing w:val="-5"/>
          <w:sz w:val="32"/>
          <w:szCs w:val="32"/>
        </w:rPr>
      </w:pPr>
      <w:r>
        <w:rPr>
          <w:spacing w:val="-5"/>
          <w:sz w:val="32"/>
          <w:szCs w:val="32"/>
        </w:rPr>
        <w:t>一致性</w:t>
      </w:r>
    </w:p>
    <w:p>
      <w:pPr>
        <w:pStyle w:val="4"/>
        <w:spacing w:line="417" w:lineRule="auto"/>
        <w:ind w:left="117" w:right="392" w:firstLine="559"/>
        <w:jc w:val="both"/>
        <w:rPr>
          <w:spacing w:val="-6"/>
          <w:sz w:val="32"/>
          <w:szCs w:val="32"/>
          <w:lang w:eastAsia="zh-CN"/>
        </w:rPr>
      </w:pPr>
      <w:r>
        <w:rPr>
          <w:spacing w:val="-6"/>
          <w:sz w:val="32"/>
          <w:szCs w:val="32"/>
          <w:lang w:eastAsia="zh-CN"/>
        </w:rPr>
        <w:t>本标准遵循国家相关法律法规、政策性文件，与有关国家标准、行业标准相一致。</w:t>
      </w:r>
    </w:p>
    <w:p>
      <w:pPr>
        <w:pStyle w:val="13"/>
        <w:numPr>
          <w:ilvl w:val="0"/>
          <w:numId w:val="4"/>
        </w:numPr>
        <w:tabs>
          <w:tab w:val="left" w:pos="960"/>
        </w:tabs>
        <w:rPr>
          <w:rFonts w:ascii="黑体" w:eastAsia="黑体"/>
          <w:sz w:val="32"/>
          <w:szCs w:val="32"/>
        </w:rPr>
      </w:pPr>
      <w:r>
        <w:rPr>
          <w:rFonts w:hint="eastAsia" w:ascii="黑体" w:eastAsia="黑体"/>
          <w:spacing w:val="-4"/>
          <w:sz w:val="32"/>
          <w:szCs w:val="32"/>
        </w:rPr>
        <w:t>标准的主要内容</w:t>
      </w:r>
    </w:p>
    <w:p>
      <w:pPr>
        <w:pStyle w:val="4"/>
        <w:spacing w:before="9"/>
        <w:rPr>
          <w:rFonts w:ascii="黑体"/>
          <w:sz w:val="20"/>
        </w:rPr>
      </w:pPr>
    </w:p>
    <w:p>
      <w:pPr>
        <w:pStyle w:val="4"/>
        <w:spacing w:line="417" w:lineRule="auto"/>
        <w:ind w:left="117" w:right="306" w:firstLine="559"/>
        <w:rPr>
          <w:rFonts w:hint="eastAsia"/>
          <w:spacing w:val="-2"/>
          <w:sz w:val="32"/>
          <w:szCs w:val="32"/>
          <w:lang w:eastAsia="zh-CN"/>
        </w:rPr>
      </w:pPr>
      <w:r>
        <w:rPr>
          <w:spacing w:val="-2"/>
          <w:sz w:val="32"/>
          <w:szCs w:val="32"/>
          <w:lang w:eastAsia="zh-CN"/>
        </w:rPr>
        <w:t>本标准共有</w:t>
      </w:r>
      <w:r>
        <w:rPr>
          <w:rFonts w:hint="eastAsia"/>
          <w:spacing w:val="-2"/>
          <w:sz w:val="32"/>
          <w:szCs w:val="32"/>
          <w:lang w:eastAsia="zh-CN"/>
        </w:rPr>
        <w:t>八</w:t>
      </w:r>
      <w:r>
        <w:rPr>
          <w:spacing w:val="-2"/>
          <w:sz w:val="32"/>
          <w:szCs w:val="32"/>
          <w:lang w:eastAsia="zh-CN"/>
        </w:rPr>
        <w:t>个章节，分别为范围</w:t>
      </w:r>
      <w:r>
        <w:rPr>
          <w:rFonts w:hint="eastAsia"/>
          <w:spacing w:val="-2"/>
          <w:sz w:val="32"/>
          <w:szCs w:val="32"/>
          <w:lang w:eastAsia="zh-CN"/>
        </w:rPr>
        <w:t>、</w:t>
      </w:r>
      <w:r>
        <w:rPr>
          <w:spacing w:val="-2"/>
          <w:sz w:val="32"/>
          <w:szCs w:val="32"/>
          <w:lang w:eastAsia="zh-CN"/>
        </w:rPr>
        <w:t>规范性引用文件</w:t>
      </w:r>
      <w:r>
        <w:rPr>
          <w:rFonts w:hint="eastAsia"/>
          <w:spacing w:val="-2"/>
          <w:sz w:val="32"/>
          <w:szCs w:val="32"/>
          <w:lang w:eastAsia="zh-CN"/>
        </w:rPr>
        <w:t>、</w:t>
      </w:r>
      <w:r>
        <w:rPr>
          <w:spacing w:val="-2"/>
          <w:sz w:val="32"/>
          <w:szCs w:val="32"/>
          <w:lang w:eastAsia="zh-CN"/>
        </w:rPr>
        <w:t>术语和定义</w:t>
      </w:r>
      <w:r>
        <w:rPr>
          <w:rFonts w:hint="eastAsia"/>
          <w:spacing w:val="-2"/>
          <w:sz w:val="32"/>
          <w:szCs w:val="32"/>
          <w:lang w:eastAsia="zh-CN"/>
        </w:rPr>
        <w:t>、缩略语、接入要求、医疗机构接入业务流程、检查检验数据、接口要求</w:t>
      </w:r>
      <w:r>
        <w:rPr>
          <w:spacing w:val="-2"/>
          <w:sz w:val="32"/>
          <w:szCs w:val="32"/>
          <w:lang w:eastAsia="zh-CN"/>
        </w:rPr>
        <w:t>。</w:t>
      </w:r>
    </w:p>
    <w:p>
      <w:pPr>
        <w:pStyle w:val="13"/>
        <w:numPr>
          <w:ilvl w:val="1"/>
          <w:numId w:val="4"/>
        </w:numPr>
        <w:tabs>
          <w:tab w:val="left" w:pos="1236"/>
        </w:tabs>
        <w:spacing w:before="1" w:line="240" w:lineRule="auto"/>
        <w:rPr>
          <w:sz w:val="32"/>
          <w:szCs w:val="32"/>
        </w:rPr>
      </w:pPr>
      <w:r>
        <w:rPr>
          <w:spacing w:val="-6"/>
          <w:sz w:val="32"/>
          <w:szCs w:val="32"/>
        </w:rPr>
        <w:t>范围</w:t>
      </w:r>
    </w:p>
    <w:p>
      <w:pPr>
        <w:pStyle w:val="4"/>
        <w:spacing w:before="8"/>
        <w:rPr>
          <w:sz w:val="20"/>
        </w:rPr>
      </w:pPr>
    </w:p>
    <w:p>
      <w:pPr>
        <w:pStyle w:val="4"/>
        <w:spacing w:before="1" w:line="417" w:lineRule="auto"/>
        <w:ind w:left="117" w:right="395" w:firstLine="559"/>
        <w:rPr>
          <w:sz w:val="32"/>
          <w:szCs w:val="32"/>
          <w:lang w:eastAsia="zh-CN"/>
        </w:rPr>
      </w:pPr>
      <w:r>
        <w:rPr>
          <w:spacing w:val="-6"/>
          <w:sz w:val="32"/>
          <w:szCs w:val="32"/>
          <w:lang w:eastAsia="zh-CN"/>
        </w:rPr>
        <w:t>本文件适用于辽宁省范围内</w:t>
      </w:r>
      <w:r>
        <w:rPr>
          <w:rFonts w:hint="eastAsia"/>
          <w:spacing w:val="-6"/>
          <w:sz w:val="32"/>
          <w:szCs w:val="32"/>
          <w:lang w:eastAsia="zh-CN"/>
        </w:rPr>
        <w:t>医疗机构检查检验结果互认</w:t>
      </w:r>
      <w:r>
        <w:rPr>
          <w:spacing w:val="-6"/>
          <w:sz w:val="32"/>
          <w:szCs w:val="32"/>
          <w:lang w:eastAsia="zh-CN"/>
        </w:rPr>
        <w:t>的建设和管理，</w:t>
      </w:r>
      <w:r>
        <w:rPr>
          <w:rFonts w:hint="eastAsia"/>
          <w:spacing w:val="-6"/>
          <w:sz w:val="32"/>
          <w:szCs w:val="32"/>
          <w:lang w:eastAsia="zh-CN"/>
        </w:rPr>
        <w:t>医疗机构信息系统</w:t>
      </w:r>
      <w:r>
        <w:rPr>
          <w:spacing w:val="-2"/>
          <w:sz w:val="32"/>
          <w:szCs w:val="32"/>
          <w:lang w:eastAsia="zh-CN"/>
        </w:rPr>
        <w:t>改造也可参考使用。</w:t>
      </w:r>
    </w:p>
    <w:p>
      <w:pPr>
        <w:pStyle w:val="13"/>
        <w:numPr>
          <w:ilvl w:val="1"/>
          <w:numId w:val="4"/>
        </w:numPr>
        <w:tabs>
          <w:tab w:val="left" w:pos="1236"/>
        </w:tabs>
        <w:rPr>
          <w:sz w:val="32"/>
          <w:szCs w:val="32"/>
        </w:rPr>
      </w:pPr>
      <w:r>
        <w:rPr>
          <w:spacing w:val="-4"/>
          <w:sz w:val="32"/>
          <w:szCs w:val="32"/>
        </w:rPr>
        <w:t>规范性引用文件</w:t>
      </w:r>
    </w:p>
    <w:p>
      <w:pPr>
        <w:pStyle w:val="4"/>
        <w:spacing w:before="8"/>
        <w:rPr>
          <w:sz w:val="20"/>
        </w:rPr>
      </w:pPr>
    </w:p>
    <w:p>
      <w:pPr>
        <w:pStyle w:val="4"/>
        <w:spacing w:before="1" w:line="417" w:lineRule="auto"/>
        <w:ind w:left="117" w:right="395" w:firstLine="559"/>
        <w:rPr>
          <w:spacing w:val="-6"/>
          <w:sz w:val="32"/>
          <w:szCs w:val="32"/>
          <w:lang w:eastAsia="zh-CN"/>
        </w:rPr>
      </w:pPr>
      <w:r>
        <w:rPr>
          <w:spacing w:val="-6"/>
          <w:sz w:val="32"/>
          <w:szCs w:val="32"/>
          <w:lang w:eastAsia="zh-CN"/>
        </w:rPr>
        <w:t>本标准规范性引用文件共 13个，为现行有效标准</w:t>
      </w:r>
      <w:r>
        <w:rPr>
          <w:rFonts w:hint="eastAsia"/>
          <w:spacing w:val="-6"/>
          <w:sz w:val="32"/>
          <w:szCs w:val="32"/>
          <w:lang w:eastAsia="zh-CN"/>
        </w:rPr>
        <w:t>、以及行业建设指南</w:t>
      </w:r>
      <w:r>
        <w:rPr>
          <w:spacing w:val="-6"/>
          <w:sz w:val="32"/>
          <w:szCs w:val="32"/>
          <w:lang w:eastAsia="zh-CN"/>
        </w:rPr>
        <w:t>。</w:t>
      </w:r>
      <w:r>
        <w:rPr>
          <w:rFonts w:hint="eastAsia"/>
          <w:spacing w:val="-6"/>
          <w:sz w:val="32"/>
          <w:szCs w:val="32"/>
          <w:lang w:eastAsia="zh-CN"/>
        </w:rPr>
        <w:t>具体包含如下：</w:t>
      </w:r>
    </w:p>
    <w:p>
      <w:pPr>
        <w:pStyle w:val="4"/>
        <w:spacing w:before="43"/>
        <w:ind w:firstLine="604" w:firstLineChars="200"/>
        <w:rPr>
          <w:color w:val="000000" w:themeColor="text1"/>
          <w:spacing w:val="-1"/>
          <w:w w:val="95"/>
          <w:sz w:val="32"/>
          <w:szCs w:val="32"/>
          <w:lang w:eastAsia="zh-CN"/>
          <w14:textFill>
            <w14:solidFill>
              <w14:schemeClr w14:val="tx1"/>
            </w14:solidFill>
          </w14:textFill>
        </w:rPr>
      </w:pPr>
      <w:r>
        <w:rPr>
          <w:rFonts w:hint="eastAsia"/>
          <w:color w:val="000000" w:themeColor="text1"/>
          <w:spacing w:val="-1"/>
          <w:w w:val="95"/>
          <w:sz w:val="32"/>
          <w:szCs w:val="32"/>
          <w:lang w:eastAsia="zh-CN"/>
          <w14:textFill>
            <w14:solidFill>
              <w14:schemeClr w14:val="tx1"/>
            </w14:solidFill>
          </w14:textFill>
        </w:rPr>
        <w:t>WS 218—2002</w:t>
      </w:r>
      <w:r>
        <w:rPr>
          <w:rFonts w:hint="eastAsia"/>
          <w:color w:val="000000" w:themeColor="text1"/>
          <w:spacing w:val="-1"/>
          <w:w w:val="95"/>
          <w:sz w:val="32"/>
          <w:szCs w:val="32"/>
          <w:lang w:eastAsia="zh-CN"/>
          <w14:textFill>
            <w14:solidFill>
              <w14:schemeClr w14:val="tx1"/>
            </w14:solidFill>
          </w14:textFill>
        </w:rPr>
        <w:tab/>
      </w:r>
      <w:r>
        <w:rPr>
          <w:rFonts w:hint="eastAsia"/>
          <w:color w:val="000000" w:themeColor="text1"/>
          <w:spacing w:val="-1"/>
          <w:w w:val="95"/>
          <w:sz w:val="32"/>
          <w:szCs w:val="32"/>
          <w:lang w:eastAsia="zh-CN"/>
          <w14:textFill>
            <w14:solidFill>
              <w14:schemeClr w14:val="tx1"/>
            </w14:solidFill>
          </w14:textFill>
        </w:rPr>
        <w:t>卫生机构（组织）分类与代码</w:t>
      </w:r>
    </w:p>
    <w:p>
      <w:pPr>
        <w:pStyle w:val="4"/>
        <w:spacing w:before="43"/>
        <w:ind w:firstLine="604" w:firstLineChars="200"/>
        <w:rPr>
          <w:color w:val="000000" w:themeColor="text1"/>
          <w:spacing w:val="-1"/>
          <w:w w:val="95"/>
          <w:sz w:val="32"/>
          <w:szCs w:val="32"/>
          <w:lang w:eastAsia="zh-CN"/>
          <w14:textFill>
            <w14:solidFill>
              <w14:schemeClr w14:val="tx1"/>
            </w14:solidFill>
          </w14:textFill>
        </w:rPr>
      </w:pPr>
      <w:r>
        <w:rPr>
          <w:rFonts w:hint="eastAsia"/>
          <w:color w:val="000000" w:themeColor="text1"/>
          <w:spacing w:val="-1"/>
          <w:w w:val="95"/>
          <w:sz w:val="32"/>
          <w:szCs w:val="32"/>
          <w:lang w:eastAsia="zh-CN"/>
          <w14:textFill>
            <w14:solidFill>
              <w14:schemeClr w14:val="tx1"/>
            </w14:solidFill>
          </w14:textFill>
        </w:rPr>
        <w:t>WS 363.1—2023    卫生健康信息数据元目录第1部分：总则</w:t>
      </w:r>
    </w:p>
    <w:p>
      <w:pPr>
        <w:pStyle w:val="4"/>
        <w:spacing w:before="43"/>
        <w:ind w:firstLine="604" w:firstLineChars="200"/>
        <w:rPr>
          <w:color w:val="000000" w:themeColor="text1"/>
          <w:spacing w:val="-1"/>
          <w:w w:val="95"/>
          <w:sz w:val="32"/>
          <w:szCs w:val="32"/>
          <w:lang w:eastAsia="zh-CN"/>
          <w14:textFill>
            <w14:solidFill>
              <w14:schemeClr w14:val="tx1"/>
            </w14:solidFill>
          </w14:textFill>
        </w:rPr>
      </w:pPr>
      <w:r>
        <w:rPr>
          <w:rFonts w:hint="eastAsia"/>
          <w:color w:val="000000" w:themeColor="text1"/>
          <w:spacing w:val="-1"/>
          <w:w w:val="95"/>
          <w:sz w:val="32"/>
          <w:szCs w:val="32"/>
          <w:lang w:eastAsia="zh-CN"/>
          <w14:textFill>
            <w14:solidFill>
              <w14:schemeClr w14:val="tx1"/>
            </w14:solidFill>
          </w14:textFill>
        </w:rPr>
        <w:t>GB/T 2260         中华人民共和国行政区划代码</w:t>
      </w:r>
    </w:p>
    <w:p>
      <w:pPr>
        <w:pStyle w:val="4"/>
        <w:spacing w:before="43"/>
        <w:ind w:firstLine="604" w:firstLineChars="200"/>
        <w:rPr>
          <w:color w:val="000000" w:themeColor="text1"/>
          <w:spacing w:val="-1"/>
          <w:w w:val="95"/>
          <w:sz w:val="32"/>
          <w:szCs w:val="32"/>
          <w:lang w:eastAsia="zh-CN"/>
          <w14:textFill>
            <w14:solidFill>
              <w14:schemeClr w14:val="tx1"/>
            </w14:solidFill>
          </w14:textFill>
        </w:rPr>
      </w:pPr>
      <w:r>
        <w:rPr>
          <w:rFonts w:hint="eastAsia"/>
          <w:color w:val="000000" w:themeColor="text1"/>
          <w:spacing w:val="-1"/>
          <w:w w:val="95"/>
          <w:sz w:val="32"/>
          <w:szCs w:val="32"/>
          <w:lang w:eastAsia="zh-CN"/>
          <w14:textFill>
            <w14:solidFill>
              <w14:schemeClr w14:val="tx1"/>
            </w14:solidFill>
          </w14:textFill>
        </w:rPr>
        <w:t>GM/T 0004-2012    SM3 杂凑密码算法</w:t>
      </w:r>
    </w:p>
    <w:p>
      <w:pPr>
        <w:pStyle w:val="4"/>
        <w:spacing w:before="43"/>
        <w:ind w:firstLine="604" w:firstLineChars="200"/>
        <w:rPr>
          <w:color w:val="000000" w:themeColor="text1"/>
          <w:spacing w:val="-1"/>
          <w:w w:val="95"/>
          <w:sz w:val="32"/>
          <w:szCs w:val="32"/>
          <w:lang w:eastAsia="zh-CN"/>
          <w14:textFill>
            <w14:solidFill>
              <w14:schemeClr w14:val="tx1"/>
            </w14:solidFill>
          </w14:textFill>
        </w:rPr>
      </w:pPr>
      <w:r>
        <w:rPr>
          <w:rFonts w:hint="eastAsia"/>
          <w:color w:val="000000" w:themeColor="text1"/>
          <w:spacing w:val="-1"/>
          <w:w w:val="95"/>
          <w:sz w:val="32"/>
          <w:szCs w:val="32"/>
          <w:lang w:eastAsia="zh-CN"/>
          <w14:textFill>
            <w14:solidFill>
              <w14:schemeClr w14:val="tx1"/>
            </w14:solidFill>
          </w14:textFill>
        </w:rPr>
        <w:t>GM/T 0009-2012    SM2 密码算法使用规范</w:t>
      </w:r>
    </w:p>
    <w:p>
      <w:pPr>
        <w:pStyle w:val="4"/>
        <w:spacing w:before="43"/>
        <w:ind w:firstLine="604" w:firstLineChars="200"/>
        <w:rPr>
          <w:color w:val="000000" w:themeColor="text1"/>
          <w:spacing w:val="-1"/>
          <w:w w:val="95"/>
          <w:sz w:val="32"/>
          <w:szCs w:val="32"/>
          <w:lang w:eastAsia="zh-CN"/>
          <w14:textFill>
            <w14:solidFill>
              <w14:schemeClr w14:val="tx1"/>
            </w14:solidFill>
          </w14:textFill>
        </w:rPr>
      </w:pPr>
      <w:r>
        <w:rPr>
          <w:rFonts w:hint="eastAsia"/>
          <w:color w:val="000000" w:themeColor="text1"/>
          <w:spacing w:val="-1"/>
          <w:w w:val="95"/>
          <w:sz w:val="32"/>
          <w:szCs w:val="32"/>
          <w:lang w:eastAsia="zh-CN"/>
          <w14:textFill>
            <w14:solidFill>
              <w14:schemeClr w14:val="tx1"/>
            </w14:solidFill>
          </w14:textFill>
        </w:rPr>
        <w:t>GM/T 0002-2012    SM4分组密码算法</w:t>
      </w:r>
    </w:p>
    <w:p>
      <w:pPr>
        <w:pStyle w:val="4"/>
        <w:spacing w:before="43"/>
        <w:ind w:firstLine="604" w:firstLineChars="200"/>
        <w:rPr>
          <w:sz w:val="32"/>
          <w:szCs w:val="32"/>
          <w:lang w:eastAsia="zh-CN"/>
        </w:rPr>
      </w:pPr>
      <w:r>
        <w:rPr>
          <w:color w:val="000000" w:themeColor="text1"/>
          <w:spacing w:val="-1"/>
          <w:w w:val="95"/>
          <w:sz w:val="32"/>
          <w:szCs w:val="32"/>
          <w:lang w:eastAsia="zh-CN"/>
          <w14:textFill>
            <w14:solidFill>
              <w14:schemeClr w14:val="tx1"/>
            </w14:solidFill>
          </w14:textFill>
        </w:rPr>
        <w:t xml:space="preserve">GB/T 39725-2020  </w:t>
      </w:r>
      <w:r>
        <w:rPr>
          <w:rFonts w:hint="eastAsia"/>
          <w:color w:val="000000" w:themeColor="text1"/>
          <w:spacing w:val="-1"/>
          <w:w w:val="95"/>
          <w:sz w:val="32"/>
          <w:szCs w:val="32"/>
          <w:lang w:eastAsia="zh-CN"/>
          <w14:textFill>
            <w14:solidFill>
              <w14:schemeClr w14:val="tx1"/>
            </w14:solidFill>
          </w14:textFill>
        </w:rPr>
        <w:t>信息安全技术健康医疗数据安全指南</w:t>
      </w:r>
    </w:p>
    <w:p>
      <w:pPr>
        <w:pStyle w:val="4"/>
        <w:spacing w:before="43"/>
        <w:ind w:firstLine="604" w:firstLineChars="200"/>
        <w:rPr>
          <w:color w:val="000000" w:themeColor="text1"/>
          <w:spacing w:val="-1"/>
          <w:w w:val="95"/>
          <w:sz w:val="32"/>
          <w:szCs w:val="32"/>
          <w:lang w:eastAsia="zh-CN"/>
          <w14:textFill>
            <w14:solidFill>
              <w14:schemeClr w14:val="tx1"/>
            </w14:solidFill>
          </w14:textFill>
        </w:rPr>
      </w:pPr>
      <w:r>
        <w:rPr>
          <w:color w:val="000000" w:themeColor="text1"/>
          <w:spacing w:val="-1"/>
          <w:w w:val="95"/>
          <w:sz w:val="32"/>
          <w:szCs w:val="32"/>
          <w:lang w:eastAsia="zh-CN"/>
          <w14:textFill>
            <w14:solidFill>
              <w14:schemeClr w14:val="tx1"/>
            </w14:solidFill>
          </w14:textFill>
        </w:rPr>
        <w:t xml:space="preserve">GB/T 20269 信息安全技术 信息系统安全管理要求 </w:t>
      </w:r>
    </w:p>
    <w:p>
      <w:pPr>
        <w:pStyle w:val="4"/>
        <w:spacing w:before="43"/>
        <w:ind w:firstLine="604" w:firstLineChars="200"/>
        <w:rPr>
          <w:color w:val="000000" w:themeColor="text1"/>
          <w:spacing w:val="-1"/>
          <w:w w:val="95"/>
          <w:sz w:val="32"/>
          <w:szCs w:val="32"/>
          <w:lang w:eastAsia="zh-CN"/>
          <w14:textFill>
            <w14:solidFill>
              <w14:schemeClr w14:val="tx1"/>
            </w14:solidFill>
          </w14:textFill>
        </w:rPr>
      </w:pPr>
      <w:r>
        <w:rPr>
          <w:color w:val="000000" w:themeColor="text1"/>
          <w:spacing w:val="-1"/>
          <w:w w:val="95"/>
          <w:sz w:val="32"/>
          <w:szCs w:val="32"/>
          <w:lang w:eastAsia="zh-CN"/>
          <w14:textFill>
            <w14:solidFill>
              <w14:schemeClr w14:val="tx1"/>
            </w14:solidFill>
          </w14:textFill>
        </w:rPr>
        <w:t xml:space="preserve">GB/T 20270 信息安全技术 网络基础安全技术要求 </w:t>
      </w:r>
    </w:p>
    <w:p>
      <w:pPr>
        <w:pStyle w:val="4"/>
        <w:spacing w:before="43"/>
        <w:ind w:firstLine="604" w:firstLineChars="200"/>
        <w:rPr>
          <w:color w:val="000000" w:themeColor="text1"/>
          <w:spacing w:val="-1"/>
          <w:w w:val="95"/>
          <w:sz w:val="32"/>
          <w:szCs w:val="32"/>
          <w:lang w:eastAsia="zh-CN"/>
          <w14:textFill>
            <w14:solidFill>
              <w14:schemeClr w14:val="tx1"/>
            </w14:solidFill>
          </w14:textFill>
        </w:rPr>
      </w:pPr>
      <w:r>
        <w:rPr>
          <w:color w:val="000000" w:themeColor="text1"/>
          <w:spacing w:val="-1"/>
          <w:w w:val="95"/>
          <w:sz w:val="32"/>
          <w:szCs w:val="32"/>
          <w:lang w:eastAsia="zh-CN"/>
          <w14:textFill>
            <w14:solidFill>
              <w14:schemeClr w14:val="tx1"/>
            </w14:solidFill>
          </w14:textFill>
        </w:rPr>
        <w:t>GB/T 22239 信息安全技术 网络安全等级保护基本要求</w:t>
      </w:r>
    </w:p>
    <w:p>
      <w:pPr>
        <w:pStyle w:val="4"/>
        <w:spacing w:before="43"/>
        <w:ind w:firstLine="604" w:firstLineChars="200"/>
        <w:rPr>
          <w:color w:val="000000" w:themeColor="text1"/>
          <w:spacing w:val="-1"/>
          <w:w w:val="95"/>
          <w:sz w:val="32"/>
          <w:szCs w:val="32"/>
          <w:lang w:eastAsia="zh-CN"/>
          <w14:textFill>
            <w14:solidFill>
              <w14:schemeClr w14:val="tx1"/>
            </w14:solidFill>
          </w14:textFill>
        </w:rPr>
      </w:pPr>
      <w:r>
        <w:rPr>
          <w:color w:val="000000" w:themeColor="text1"/>
          <w:spacing w:val="-1"/>
          <w:w w:val="95"/>
          <w:sz w:val="32"/>
          <w:szCs w:val="32"/>
          <w:lang w:eastAsia="zh-CN"/>
          <w14:textFill>
            <w14:solidFill>
              <w14:schemeClr w14:val="tx1"/>
            </w14:solidFill>
          </w14:textFill>
        </w:rPr>
        <w:t xml:space="preserve">GB/T 25068.2 信息技术 安全技术 网络安全 第2部分：网络安全设计和实现指南 </w:t>
      </w:r>
    </w:p>
    <w:p>
      <w:pPr>
        <w:pStyle w:val="4"/>
        <w:spacing w:before="43"/>
        <w:ind w:firstLine="604" w:firstLineChars="200"/>
        <w:rPr>
          <w:color w:val="000000" w:themeColor="text1"/>
          <w:spacing w:val="-1"/>
          <w:w w:val="95"/>
          <w:sz w:val="32"/>
          <w:szCs w:val="32"/>
          <w:lang w:eastAsia="zh-CN"/>
          <w14:textFill>
            <w14:solidFill>
              <w14:schemeClr w14:val="tx1"/>
            </w14:solidFill>
          </w14:textFill>
        </w:rPr>
      </w:pPr>
      <w:r>
        <w:rPr>
          <w:color w:val="000000" w:themeColor="text1"/>
          <w:spacing w:val="-1"/>
          <w:w w:val="95"/>
          <w:sz w:val="32"/>
          <w:szCs w:val="32"/>
          <w:lang w:eastAsia="zh-CN"/>
          <w14:textFill>
            <w14:solidFill>
              <w14:schemeClr w14:val="tx1"/>
            </w14:solidFill>
          </w14:textFill>
        </w:rPr>
        <w:t>GB/T 28452 信息安全技术 应用软件系统通用安全技术要求</w:t>
      </w:r>
    </w:p>
    <w:p>
      <w:pPr>
        <w:pStyle w:val="4"/>
        <w:spacing w:before="43"/>
        <w:ind w:firstLine="604" w:firstLineChars="200"/>
        <w:rPr>
          <w:color w:val="000000" w:themeColor="text1"/>
          <w:spacing w:val="-1"/>
          <w:w w:val="95"/>
          <w:sz w:val="32"/>
          <w:szCs w:val="32"/>
          <w:lang w:eastAsia="zh-CN"/>
          <w14:textFill>
            <w14:solidFill>
              <w14:schemeClr w14:val="tx1"/>
            </w14:solidFill>
          </w14:textFill>
        </w:rPr>
      </w:pPr>
      <w:r>
        <w:rPr>
          <w:color w:val="000000" w:themeColor="text1"/>
          <w:spacing w:val="-1"/>
          <w:w w:val="95"/>
          <w:sz w:val="32"/>
          <w:szCs w:val="32"/>
          <w:lang w:eastAsia="zh-CN"/>
          <w14:textFill>
            <w14:solidFill>
              <w14:schemeClr w14:val="tx1"/>
            </w14:solidFill>
          </w14:textFill>
        </w:rPr>
        <w:t>GB/T 30882.1 信息技术 应用软件系统技术要求 第1部分：基于B/S体系结构的应用软件系统基本要求</w:t>
      </w:r>
    </w:p>
    <w:p>
      <w:pPr>
        <w:pStyle w:val="4"/>
        <w:spacing w:before="8"/>
        <w:rPr>
          <w:rFonts w:hint="eastAsia"/>
          <w:sz w:val="20"/>
          <w:lang w:eastAsia="zh-CN"/>
        </w:rPr>
      </w:pPr>
    </w:p>
    <w:p>
      <w:pPr>
        <w:pStyle w:val="13"/>
        <w:numPr>
          <w:ilvl w:val="1"/>
          <w:numId w:val="4"/>
        </w:numPr>
        <w:tabs>
          <w:tab w:val="left" w:pos="1236"/>
        </w:tabs>
        <w:spacing w:before="1" w:line="360" w:lineRule="auto"/>
        <w:jc w:val="both"/>
        <w:rPr>
          <w:sz w:val="32"/>
          <w:szCs w:val="32"/>
        </w:rPr>
      </w:pPr>
      <w:r>
        <w:rPr>
          <w:spacing w:val="-4"/>
          <w:sz w:val="32"/>
          <w:szCs w:val="32"/>
        </w:rPr>
        <w:t>术语和定义</w:t>
      </w:r>
    </w:p>
    <w:p>
      <w:pPr>
        <w:pStyle w:val="4"/>
        <w:spacing w:before="1" w:line="417" w:lineRule="auto"/>
        <w:ind w:left="117" w:right="395" w:firstLine="559"/>
        <w:rPr>
          <w:spacing w:val="-6"/>
          <w:sz w:val="32"/>
          <w:szCs w:val="32"/>
          <w:lang w:eastAsia="zh-CN"/>
        </w:rPr>
      </w:pPr>
      <w:r>
        <w:rPr>
          <w:spacing w:val="-6"/>
          <w:sz w:val="32"/>
          <w:szCs w:val="32"/>
          <w:lang w:eastAsia="zh-CN"/>
        </w:rPr>
        <w:t>为便于标准的理解和使用，参考相关标准文献，解释清晰、避免歧义。</w:t>
      </w:r>
    </w:p>
    <w:p>
      <w:pPr>
        <w:pStyle w:val="4"/>
        <w:spacing w:before="1" w:line="417" w:lineRule="auto"/>
        <w:ind w:left="117" w:right="306" w:firstLine="559"/>
        <w:jc w:val="both"/>
        <w:rPr>
          <w:spacing w:val="-2"/>
          <w:sz w:val="32"/>
          <w:szCs w:val="32"/>
          <w:lang w:eastAsia="zh-CN"/>
        </w:rPr>
      </w:pPr>
      <w:bookmarkStart w:id="2" w:name="_Toc31061"/>
      <w:bookmarkStart w:id="3" w:name="_Toc198756783"/>
      <w:bookmarkStart w:id="4" w:name="_Toc193798104"/>
      <w:r>
        <w:rPr>
          <w:rFonts w:hint="eastAsia"/>
          <w:spacing w:val="-2"/>
          <w:sz w:val="32"/>
          <w:szCs w:val="32"/>
          <w:lang w:eastAsia="zh-CN"/>
        </w:rPr>
        <w:t>检查检验数据</w:t>
      </w:r>
      <w:r>
        <w:rPr>
          <w:spacing w:val="-2"/>
          <w:sz w:val="32"/>
          <w:szCs w:val="32"/>
          <w:lang w:eastAsia="zh-CN"/>
        </w:rPr>
        <w:t xml:space="preserve"> data </w:t>
      </w:r>
      <w:r>
        <w:rPr>
          <w:rFonts w:hint="eastAsia"/>
          <w:spacing w:val="-2"/>
          <w:sz w:val="32"/>
          <w:szCs w:val="32"/>
          <w:lang w:eastAsia="zh-CN"/>
        </w:rPr>
        <w:t>of</w:t>
      </w:r>
      <w:r>
        <w:rPr>
          <w:spacing w:val="-2"/>
          <w:sz w:val="32"/>
          <w:szCs w:val="32"/>
          <w:lang w:eastAsia="zh-CN"/>
        </w:rPr>
        <w:t xml:space="preserve"> examination and inspection</w:t>
      </w:r>
      <w:bookmarkEnd w:id="2"/>
    </w:p>
    <w:p>
      <w:pPr>
        <w:pStyle w:val="4"/>
        <w:spacing w:before="1" w:line="417" w:lineRule="auto"/>
        <w:ind w:left="117" w:right="306" w:firstLine="559"/>
        <w:jc w:val="both"/>
        <w:rPr>
          <w:spacing w:val="-2"/>
          <w:sz w:val="32"/>
          <w:szCs w:val="32"/>
          <w:lang w:eastAsia="zh-CN"/>
        </w:rPr>
      </w:pPr>
      <w:r>
        <w:rPr>
          <w:rFonts w:hint="eastAsia"/>
          <w:spacing w:val="-2"/>
          <w:sz w:val="32"/>
          <w:szCs w:val="32"/>
          <w:lang w:eastAsia="zh-CN"/>
        </w:rPr>
        <w:t>医疗机构通过检查系统、检验系统生成的数据。</w:t>
      </w:r>
    </w:p>
    <w:p>
      <w:pPr>
        <w:pStyle w:val="4"/>
        <w:spacing w:before="1" w:line="417" w:lineRule="auto"/>
        <w:ind w:left="117" w:right="306" w:firstLine="559"/>
        <w:jc w:val="both"/>
        <w:rPr>
          <w:spacing w:val="-2"/>
          <w:sz w:val="32"/>
          <w:szCs w:val="32"/>
          <w:lang w:eastAsia="zh-CN"/>
        </w:rPr>
      </w:pPr>
      <w:bookmarkStart w:id="5" w:name="_Toc207698665"/>
      <w:bookmarkEnd w:id="5"/>
      <w:bookmarkStart w:id="6" w:name="_Toc29807"/>
      <w:r>
        <w:rPr>
          <w:rFonts w:hint="eastAsia"/>
          <w:spacing w:val="-2"/>
          <w:sz w:val="32"/>
          <w:szCs w:val="32"/>
          <w:lang w:eastAsia="zh-CN"/>
        </w:rPr>
        <w:t xml:space="preserve">检查检验结果互认 </w:t>
      </w:r>
      <w:r>
        <w:rPr>
          <w:spacing w:val="-2"/>
          <w:sz w:val="32"/>
          <w:szCs w:val="32"/>
          <w:lang w:eastAsia="zh-CN"/>
        </w:rPr>
        <w:t>mutual recognition of examination and inspection results</w:t>
      </w:r>
      <w:bookmarkEnd w:id="6"/>
    </w:p>
    <w:p>
      <w:pPr>
        <w:pStyle w:val="4"/>
        <w:spacing w:before="1" w:line="417" w:lineRule="auto"/>
        <w:ind w:left="117" w:right="306" w:firstLine="559"/>
        <w:jc w:val="both"/>
        <w:rPr>
          <w:spacing w:val="-2"/>
          <w:sz w:val="32"/>
          <w:szCs w:val="32"/>
          <w:lang w:eastAsia="zh-CN"/>
        </w:rPr>
      </w:pPr>
      <w:r>
        <w:rPr>
          <w:rFonts w:hint="eastAsia"/>
          <w:spacing w:val="-2"/>
          <w:sz w:val="32"/>
          <w:szCs w:val="32"/>
          <w:lang w:eastAsia="zh-CN"/>
        </w:rPr>
        <w:t>医疗机构之间属于互认项目的检查检验结果（包含数据、报告和放射类影像资料）相互认可。</w:t>
      </w:r>
    </w:p>
    <w:p>
      <w:pPr>
        <w:pStyle w:val="4"/>
        <w:spacing w:before="1" w:line="417" w:lineRule="auto"/>
        <w:ind w:left="117" w:right="306" w:firstLine="559"/>
        <w:jc w:val="both"/>
        <w:rPr>
          <w:spacing w:val="-2"/>
          <w:sz w:val="32"/>
          <w:szCs w:val="32"/>
          <w:lang w:eastAsia="zh-CN"/>
        </w:rPr>
      </w:pPr>
      <w:bookmarkStart w:id="7" w:name="_Toc207698666"/>
      <w:bookmarkEnd w:id="7"/>
      <w:bookmarkStart w:id="8" w:name="_Toc193798102"/>
      <w:bookmarkStart w:id="9" w:name="_Toc19872"/>
      <w:r>
        <w:rPr>
          <w:rFonts w:hint="eastAsia"/>
          <w:spacing w:val="-2"/>
          <w:sz w:val="32"/>
          <w:szCs w:val="32"/>
          <w:lang w:eastAsia="zh-CN"/>
        </w:rPr>
        <w:t>互认项目</w:t>
      </w:r>
      <w:bookmarkEnd w:id="8"/>
      <w:r>
        <w:rPr>
          <w:rFonts w:hint="eastAsia"/>
          <w:spacing w:val="-2"/>
          <w:sz w:val="32"/>
          <w:szCs w:val="32"/>
          <w:lang w:eastAsia="zh-CN"/>
        </w:rPr>
        <w:t xml:space="preserve"> </w:t>
      </w:r>
      <w:r>
        <w:rPr>
          <w:spacing w:val="-2"/>
          <w:sz w:val="32"/>
          <w:szCs w:val="32"/>
          <w:lang w:eastAsia="zh-CN"/>
        </w:rPr>
        <w:t>mutual recognition project</w:t>
      </w:r>
      <w:bookmarkEnd w:id="9"/>
    </w:p>
    <w:p>
      <w:pPr>
        <w:pStyle w:val="4"/>
        <w:spacing w:before="1" w:line="417" w:lineRule="auto"/>
        <w:ind w:left="117" w:right="306" w:firstLine="559"/>
        <w:jc w:val="both"/>
        <w:rPr>
          <w:spacing w:val="-2"/>
          <w:sz w:val="32"/>
          <w:szCs w:val="32"/>
          <w:lang w:eastAsia="zh-CN"/>
        </w:rPr>
      </w:pPr>
      <w:r>
        <w:rPr>
          <w:rFonts w:hint="eastAsia"/>
          <w:spacing w:val="-2"/>
          <w:sz w:val="32"/>
          <w:szCs w:val="32"/>
          <w:lang w:eastAsia="zh-CN"/>
        </w:rPr>
        <w:t>检查检验数据中互认的检验结果指标项，以及检查中方法、部位、类型所对应的检查项</w:t>
      </w:r>
      <w:r>
        <w:rPr>
          <w:spacing w:val="-2"/>
          <w:sz w:val="32"/>
          <w:szCs w:val="32"/>
          <w:lang w:eastAsia="zh-CN"/>
        </w:rPr>
        <w:t>。</w:t>
      </w:r>
      <w:bookmarkEnd w:id="3"/>
      <w:bookmarkEnd w:id="4"/>
      <w:bookmarkStart w:id="10" w:name="_Toc198756784"/>
      <w:bookmarkStart w:id="11" w:name="_Toc193798105"/>
    </w:p>
    <w:p>
      <w:pPr>
        <w:pStyle w:val="4"/>
        <w:spacing w:before="1" w:line="417" w:lineRule="auto"/>
        <w:ind w:left="117" w:right="306" w:firstLine="559"/>
        <w:jc w:val="both"/>
        <w:rPr>
          <w:spacing w:val="-2"/>
          <w:sz w:val="32"/>
          <w:szCs w:val="32"/>
          <w:lang w:eastAsia="zh-CN"/>
        </w:rPr>
      </w:pPr>
      <w:r>
        <w:rPr>
          <w:rFonts w:hint="eastAsia"/>
          <w:spacing w:val="-2"/>
          <w:sz w:val="32"/>
          <w:szCs w:val="32"/>
          <w:lang w:eastAsia="zh-CN"/>
        </w:rPr>
        <w:t>主索引ID</w:t>
      </w:r>
      <w:bookmarkEnd w:id="10"/>
      <w:bookmarkEnd w:id="11"/>
      <w:bookmarkStart w:id="12" w:name="_Toc525071127"/>
      <w:bookmarkStart w:id="13" w:name="_Toc511167453"/>
      <w:r>
        <w:rPr>
          <w:rFonts w:hint="eastAsia"/>
          <w:spacing w:val="-2"/>
          <w:sz w:val="32"/>
          <w:szCs w:val="32"/>
          <w:lang w:eastAsia="zh-CN"/>
        </w:rPr>
        <w:t xml:space="preserve">   </w:t>
      </w:r>
      <w:bookmarkEnd w:id="12"/>
      <w:r>
        <w:rPr>
          <w:spacing w:val="-2"/>
          <w:sz w:val="32"/>
          <w:szCs w:val="32"/>
          <w:lang w:eastAsia="zh-CN"/>
        </w:rPr>
        <w:t>p</w:t>
      </w:r>
      <w:r>
        <w:rPr>
          <w:rFonts w:hint="eastAsia"/>
          <w:spacing w:val="-2"/>
          <w:sz w:val="32"/>
          <w:szCs w:val="32"/>
          <w:lang w:eastAsia="zh-CN"/>
        </w:rPr>
        <w:t>rimary index ID</w:t>
      </w:r>
    </w:p>
    <w:bookmarkEnd w:id="13"/>
    <w:p>
      <w:pPr>
        <w:pStyle w:val="4"/>
        <w:spacing w:before="1" w:line="417" w:lineRule="auto"/>
        <w:ind w:left="117" w:right="306" w:firstLine="559"/>
        <w:jc w:val="both"/>
        <w:rPr>
          <w:spacing w:val="-2"/>
          <w:sz w:val="32"/>
          <w:szCs w:val="32"/>
          <w:lang w:eastAsia="zh-CN"/>
        </w:rPr>
      </w:pPr>
      <w:r>
        <w:rPr>
          <w:rFonts w:hint="eastAsia"/>
          <w:spacing w:val="-2"/>
          <w:sz w:val="32"/>
          <w:szCs w:val="32"/>
          <w:lang w:eastAsia="zh-CN"/>
        </w:rPr>
        <w:t>是标识居民身份唯一性的信息，通过主索引ID关联用户的实体居民健康卡、电子健康卡、医院就诊卡等不同类型账户。</w:t>
      </w:r>
      <w:bookmarkStart w:id="14" w:name="_Toc23752689"/>
      <w:bookmarkEnd w:id="14"/>
      <w:bookmarkStart w:id="15" w:name="_Toc514007376"/>
      <w:bookmarkEnd w:id="15"/>
      <w:bookmarkStart w:id="16" w:name="_Toc514855693"/>
      <w:bookmarkEnd w:id="16"/>
      <w:bookmarkStart w:id="17" w:name="_Toc23713696"/>
      <w:bookmarkEnd w:id="17"/>
      <w:bookmarkStart w:id="18" w:name="_Toc525921514"/>
      <w:bookmarkEnd w:id="18"/>
      <w:bookmarkStart w:id="19" w:name="_Toc193798106"/>
      <w:bookmarkStart w:id="20" w:name="_Toc198756785"/>
    </w:p>
    <w:bookmarkEnd w:id="19"/>
    <w:bookmarkEnd w:id="20"/>
    <w:p>
      <w:pPr>
        <w:pStyle w:val="13"/>
        <w:numPr>
          <w:ilvl w:val="1"/>
          <w:numId w:val="4"/>
        </w:numPr>
        <w:tabs>
          <w:tab w:val="left" w:pos="1167"/>
        </w:tabs>
        <w:spacing w:before="240" w:beforeLines="100" w:after="240" w:afterLines="100"/>
        <w:ind w:left="1168" w:hanging="493"/>
        <w:rPr>
          <w:spacing w:val="-4"/>
          <w:sz w:val="32"/>
          <w:szCs w:val="32"/>
        </w:rPr>
      </w:pPr>
      <w:r>
        <w:rPr>
          <w:spacing w:val="-4"/>
          <w:sz w:val="32"/>
          <w:szCs w:val="32"/>
        </w:rPr>
        <w:t>建设原则</w:t>
      </w:r>
    </w:p>
    <w:p>
      <w:pPr>
        <w:pStyle w:val="13"/>
        <w:numPr>
          <w:ilvl w:val="2"/>
          <w:numId w:val="4"/>
        </w:numPr>
        <w:tabs>
          <w:tab w:val="left" w:pos="1448"/>
        </w:tabs>
        <w:spacing w:before="240" w:beforeLines="100" w:after="240" w:afterLines="100" w:line="240" w:lineRule="auto"/>
        <w:ind w:left="1446"/>
        <w:rPr>
          <w:spacing w:val="-4"/>
          <w:sz w:val="32"/>
          <w:szCs w:val="32"/>
          <w:lang w:eastAsia="zh-CN"/>
        </w:rPr>
      </w:pPr>
      <w:r>
        <w:rPr>
          <w:spacing w:val="-4"/>
          <w:sz w:val="32"/>
          <w:szCs w:val="32"/>
          <w:lang w:eastAsia="zh-CN"/>
        </w:rPr>
        <w:t>与国内外标准协调一致原则</w:t>
      </w:r>
    </w:p>
    <w:p>
      <w:pPr>
        <w:pStyle w:val="4"/>
        <w:spacing w:line="417" w:lineRule="auto"/>
        <w:ind w:left="117" w:right="395" w:firstLine="559"/>
        <w:rPr>
          <w:spacing w:val="-4"/>
          <w:sz w:val="32"/>
          <w:szCs w:val="32"/>
          <w:lang w:eastAsia="zh-CN"/>
        </w:rPr>
      </w:pPr>
      <w:r>
        <w:rPr>
          <w:spacing w:val="-4"/>
          <w:sz w:val="32"/>
          <w:szCs w:val="32"/>
          <w:lang w:eastAsia="zh-CN"/>
        </w:rPr>
        <w:t>本文件制定过程中，根据国内外标准的相关情况，同类标准应协调一致，执行强制性的上级标准，充分研究及参考同类的推荐性标准。</w:t>
      </w:r>
    </w:p>
    <w:p>
      <w:pPr>
        <w:pStyle w:val="13"/>
        <w:numPr>
          <w:ilvl w:val="2"/>
          <w:numId w:val="4"/>
        </w:numPr>
        <w:tabs>
          <w:tab w:val="left" w:pos="1448"/>
        </w:tabs>
        <w:spacing w:before="240" w:beforeLines="100" w:after="240" w:afterLines="100" w:line="240" w:lineRule="auto"/>
        <w:ind w:left="1446"/>
        <w:rPr>
          <w:spacing w:val="-4"/>
          <w:sz w:val="32"/>
          <w:szCs w:val="32"/>
          <w:lang w:eastAsia="zh-CN"/>
        </w:rPr>
      </w:pPr>
      <w:r>
        <w:rPr>
          <w:spacing w:val="-4"/>
          <w:sz w:val="32"/>
          <w:szCs w:val="32"/>
          <w:lang w:eastAsia="zh-CN"/>
        </w:rPr>
        <w:t>可操作性的原则</w:t>
      </w:r>
    </w:p>
    <w:p>
      <w:pPr>
        <w:pStyle w:val="4"/>
        <w:spacing w:before="82" w:line="360" w:lineRule="auto"/>
        <w:ind w:right="221" w:firstLine="581"/>
        <w:rPr>
          <w:sz w:val="32"/>
          <w:szCs w:val="32"/>
          <w:lang w:eastAsia="zh-CN"/>
        </w:rPr>
      </w:pPr>
      <w:r>
        <w:rPr>
          <w:spacing w:val="-2"/>
          <w:sz w:val="32"/>
          <w:szCs w:val="32"/>
          <w:lang w:eastAsia="zh-CN"/>
        </w:rPr>
        <w:t>本文件制定过程中根据可操作性的原则，结合</w:t>
      </w:r>
      <w:r>
        <w:rPr>
          <w:rFonts w:hint="eastAsia"/>
          <w:spacing w:val="-2"/>
          <w:sz w:val="32"/>
          <w:szCs w:val="32"/>
          <w:lang w:eastAsia="zh-CN"/>
        </w:rPr>
        <w:t>医疗机构</w:t>
      </w:r>
      <w:r>
        <w:rPr>
          <w:spacing w:val="-2"/>
          <w:sz w:val="32"/>
          <w:szCs w:val="32"/>
          <w:lang w:eastAsia="zh-CN"/>
        </w:rPr>
        <w:t>的实际情况，对标准内容进行科学设定。为</w:t>
      </w:r>
      <w:r>
        <w:rPr>
          <w:rFonts w:hint="eastAsia"/>
          <w:spacing w:val="-2"/>
          <w:sz w:val="32"/>
          <w:szCs w:val="32"/>
          <w:lang w:eastAsia="zh-CN"/>
        </w:rPr>
        <w:t>辽宁省卫生健康委员会</w:t>
      </w:r>
      <w:r>
        <w:rPr>
          <w:spacing w:val="-2"/>
          <w:sz w:val="32"/>
          <w:szCs w:val="32"/>
          <w:lang w:eastAsia="zh-CN"/>
        </w:rPr>
        <w:t>等部门提供科学管理的依据。</w:t>
      </w:r>
    </w:p>
    <w:p>
      <w:pPr>
        <w:pStyle w:val="13"/>
        <w:numPr>
          <w:ilvl w:val="2"/>
          <w:numId w:val="4"/>
        </w:numPr>
        <w:tabs>
          <w:tab w:val="left" w:pos="1448"/>
        </w:tabs>
        <w:spacing w:before="240" w:beforeLines="100" w:after="240" w:afterLines="100" w:line="240" w:lineRule="auto"/>
        <w:ind w:left="1446"/>
        <w:rPr>
          <w:spacing w:val="-4"/>
          <w:sz w:val="32"/>
          <w:szCs w:val="32"/>
          <w:lang w:eastAsia="zh-CN"/>
        </w:rPr>
      </w:pPr>
      <w:r>
        <w:rPr>
          <w:spacing w:val="-4"/>
          <w:sz w:val="32"/>
          <w:szCs w:val="32"/>
          <w:lang w:eastAsia="zh-CN"/>
        </w:rPr>
        <w:t>公开透明的原则</w:t>
      </w:r>
    </w:p>
    <w:p>
      <w:pPr>
        <w:pStyle w:val="4"/>
        <w:spacing w:line="360" w:lineRule="auto"/>
        <w:ind w:right="221" w:firstLine="675"/>
        <w:rPr>
          <w:spacing w:val="-2"/>
          <w:sz w:val="32"/>
          <w:szCs w:val="32"/>
          <w:lang w:eastAsia="zh-CN"/>
        </w:rPr>
      </w:pPr>
      <w:r>
        <w:rPr>
          <w:spacing w:val="-2"/>
          <w:sz w:val="32"/>
          <w:szCs w:val="32"/>
          <w:lang w:eastAsia="zh-CN"/>
        </w:rPr>
        <w:t>本文件制定过程中坚持公开、透明的原则，除召开征求意见会听取意见外，还向社会公开广泛征求意见，如来自</w:t>
      </w:r>
      <w:r>
        <w:rPr>
          <w:rFonts w:hint="eastAsia"/>
          <w:spacing w:val="-2"/>
          <w:sz w:val="32"/>
          <w:szCs w:val="32"/>
          <w:lang w:eastAsia="zh-CN"/>
        </w:rPr>
        <w:t>医学会</w:t>
      </w:r>
      <w:r>
        <w:rPr>
          <w:spacing w:val="-2"/>
          <w:sz w:val="32"/>
          <w:szCs w:val="32"/>
          <w:lang w:eastAsia="zh-CN"/>
        </w:rPr>
        <w:t>、政府部门、</w:t>
      </w:r>
      <w:r>
        <w:rPr>
          <w:rFonts w:hint="eastAsia"/>
          <w:spacing w:val="-2"/>
          <w:sz w:val="32"/>
          <w:szCs w:val="32"/>
          <w:lang w:eastAsia="zh-CN"/>
        </w:rPr>
        <w:t>医疗机构</w:t>
      </w:r>
      <w:r>
        <w:rPr>
          <w:spacing w:val="-2"/>
          <w:sz w:val="32"/>
          <w:szCs w:val="32"/>
          <w:lang w:eastAsia="zh-CN"/>
        </w:rPr>
        <w:t>等各方意见，并吸收和采纳部分意见。</w:t>
      </w:r>
    </w:p>
    <w:p>
      <w:pPr>
        <w:pStyle w:val="13"/>
        <w:numPr>
          <w:ilvl w:val="1"/>
          <w:numId w:val="4"/>
        </w:numPr>
        <w:tabs>
          <w:tab w:val="left" w:pos="1167"/>
        </w:tabs>
        <w:spacing w:before="240" w:beforeLines="100" w:after="240" w:afterLines="100"/>
        <w:ind w:left="1168" w:hanging="493"/>
        <w:rPr>
          <w:spacing w:val="-4"/>
          <w:sz w:val="32"/>
          <w:szCs w:val="32"/>
        </w:rPr>
      </w:pPr>
      <w:r>
        <w:rPr>
          <w:rFonts w:hint="eastAsia"/>
          <w:spacing w:val="-4"/>
          <w:sz w:val="32"/>
          <w:szCs w:val="32"/>
          <w:lang w:eastAsia="zh-CN"/>
        </w:rPr>
        <w:t>标准内容</w:t>
      </w:r>
    </w:p>
    <w:p>
      <w:pPr>
        <w:pStyle w:val="4"/>
        <w:spacing w:line="324" w:lineRule="auto"/>
        <w:ind w:right="221" w:firstLine="675"/>
        <w:rPr>
          <w:spacing w:val="-2"/>
          <w:sz w:val="32"/>
          <w:szCs w:val="32"/>
          <w:lang w:eastAsia="zh-CN"/>
        </w:rPr>
      </w:pPr>
      <w:r>
        <w:rPr>
          <w:spacing w:val="-2"/>
          <w:sz w:val="32"/>
          <w:szCs w:val="32"/>
          <w:lang w:eastAsia="zh-CN"/>
        </w:rPr>
        <w:t>医疗机构检查检验结果互认</w:t>
      </w:r>
      <w:r>
        <w:rPr>
          <w:rFonts w:hint="eastAsia"/>
          <w:spacing w:val="-2"/>
          <w:sz w:val="32"/>
          <w:szCs w:val="32"/>
          <w:lang w:eastAsia="zh-CN"/>
        </w:rPr>
        <w:t>数据传输及应用要求主要为了指导医疗机构实现检查检验结果互认业务，此规范里面包含检查检验数据、接入要求、接口要求、附录A、附录B等内容。</w:t>
      </w:r>
    </w:p>
    <w:p>
      <w:pPr>
        <w:pStyle w:val="13"/>
        <w:numPr>
          <w:ilvl w:val="1"/>
          <w:numId w:val="4"/>
        </w:numPr>
        <w:tabs>
          <w:tab w:val="left" w:pos="1167"/>
        </w:tabs>
        <w:spacing w:before="240" w:beforeLines="100" w:after="240" w:afterLines="100"/>
        <w:ind w:left="1168" w:hanging="493"/>
        <w:rPr>
          <w:spacing w:val="-4"/>
          <w:sz w:val="32"/>
          <w:szCs w:val="32"/>
        </w:rPr>
      </w:pPr>
      <w:r>
        <w:rPr>
          <w:spacing w:val="-4"/>
          <w:sz w:val="32"/>
          <w:szCs w:val="32"/>
        </w:rPr>
        <w:t>参考文献</w:t>
      </w:r>
    </w:p>
    <w:p>
      <w:pPr>
        <w:pStyle w:val="4"/>
        <w:numPr>
          <w:ilvl w:val="0"/>
          <w:numId w:val="5"/>
        </w:numPr>
        <w:spacing w:line="417" w:lineRule="auto"/>
        <w:ind w:right="395"/>
        <w:rPr>
          <w:spacing w:val="-6"/>
          <w:sz w:val="32"/>
          <w:szCs w:val="32"/>
          <w:lang w:eastAsia="zh-CN"/>
        </w:rPr>
      </w:pPr>
      <w:r>
        <w:rPr>
          <w:spacing w:val="-6"/>
          <w:sz w:val="32"/>
          <w:szCs w:val="32"/>
          <w:lang w:eastAsia="zh-CN"/>
        </w:rPr>
        <w:t>WS 445.4 电子病历基本数据集 第4部分：检查检验记录</w:t>
      </w:r>
    </w:p>
    <w:p>
      <w:pPr>
        <w:pStyle w:val="4"/>
        <w:numPr>
          <w:ilvl w:val="0"/>
          <w:numId w:val="5"/>
        </w:numPr>
        <w:spacing w:line="417" w:lineRule="auto"/>
        <w:ind w:right="395"/>
        <w:rPr>
          <w:spacing w:val="-6"/>
          <w:sz w:val="32"/>
          <w:szCs w:val="32"/>
          <w:lang w:eastAsia="zh-CN"/>
        </w:rPr>
      </w:pPr>
      <w:r>
        <w:rPr>
          <w:spacing w:val="-6"/>
          <w:sz w:val="32"/>
          <w:szCs w:val="32"/>
          <w:lang w:eastAsia="zh-CN"/>
        </w:rPr>
        <w:t>WS/T 447 基于电子病历的医院信息平台技术规范</w:t>
      </w:r>
    </w:p>
    <w:p>
      <w:pPr>
        <w:pStyle w:val="4"/>
        <w:numPr>
          <w:ilvl w:val="0"/>
          <w:numId w:val="5"/>
        </w:numPr>
        <w:spacing w:line="417" w:lineRule="auto"/>
        <w:ind w:right="395"/>
        <w:rPr>
          <w:spacing w:val="-6"/>
          <w:sz w:val="32"/>
          <w:szCs w:val="32"/>
          <w:lang w:eastAsia="zh-CN"/>
        </w:rPr>
      </w:pPr>
      <w:r>
        <w:rPr>
          <w:spacing w:val="-6"/>
          <w:sz w:val="32"/>
          <w:szCs w:val="32"/>
          <w:lang w:eastAsia="zh-CN"/>
        </w:rPr>
        <w:t>国家密码管理局.国家密码管理局关于发布《SM2椭圆曲线公钥密码算法》公告（国家密码管理局公告（第21号））</w:t>
      </w:r>
    </w:p>
    <w:p>
      <w:pPr>
        <w:pStyle w:val="4"/>
        <w:numPr>
          <w:ilvl w:val="0"/>
          <w:numId w:val="5"/>
        </w:numPr>
        <w:spacing w:line="417" w:lineRule="auto"/>
        <w:ind w:right="395"/>
        <w:rPr>
          <w:spacing w:val="-6"/>
          <w:sz w:val="32"/>
          <w:szCs w:val="32"/>
          <w:lang w:eastAsia="zh-CN"/>
        </w:rPr>
      </w:pPr>
      <w:r>
        <w:rPr>
          <w:spacing w:val="-6"/>
          <w:sz w:val="32"/>
          <w:szCs w:val="32"/>
          <w:lang w:eastAsia="zh-CN"/>
        </w:rPr>
        <w:t>国家卫生健康委等四部委.关于印发医疗机构检查检验结果互认管理办法的通知（国卫医发〔2022〕6号</w:t>
      </w:r>
      <w:r>
        <w:rPr>
          <w:rFonts w:hint="eastAsia"/>
          <w:spacing w:val="-6"/>
          <w:sz w:val="32"/>
          <w:szCs w:val="32"/>
          <w:lang w:eastAsia="zh-CN"/>
        </w:rPr>
        <w:t>）</w:t>
      </w:r>
    </w:p>
    <w:p>
      <w:pPr>
        <w:pStyle w:val="4"/>
        <w:numPr>
          <w:ilvl w:val="0"/>
          <w:numId w:val="5"/>
        </w:numPr>
        <w:spacing w:line="417" w:lineRule="auto"/>
        <w:ind w:right="395"/>
        <w:rPr>
          <w:spacing w:val="-6"/>
          <w:sz w:val="32"/>
          <w:szCs w:val="32"/>
          <w:lang w:eastAsia="zh-CN"/>
        </w:rPr>
      </w:pPr>
      <w:r>
        <w:rPr>
          <w:rFonts w:hint="eastAsia"/>
          <w:spacing w:val="-6"/>
          <w:sz w:val="32"/>
          <w:szCs w:val="32"/>
          <w:lang w:eastAsia="zh-CN"/>
        </w:rPr>
        <w:t>《关于印发辽宁省医疗机构医学影像检查资料和医学检验结果互认工作实施方案（试行）的通知》（辽卫发〔2022〕73号）</w:t>
      </w:r>
    </w:p>
    <w:p>
      <w:pPr>
        <w:pStyle w:val="4"/>
        <w:numPr>
          <w:ilvl w:val="0"/>
          <w:numId w:val="5"/>
        </w:numPr>
        <w:spacing w:line="417" w:lineRule="auto"/>
        <w:ind w:right="395"/>
        <w:rPr>
          <w:spacing w:val="-6"/>
          <w:sz w:val="32"/>
          <w:szCs w:val="32"/>
          <w:lang w:eastAsia="zh-CN"/>
        </w:rPr>
      </w:pPr>
      <w:r>
        <w:rPr>
          <w:rFonts w:hint="eastAsia"/>
          <w:spacing w:val="-6"/>
          <w:sz w:val="32"/>
          <w:szCs w:val="32"/>
          <w:lang w:eastAsia="zh-CN"/>
        </w:rPr>
        <w:t>关于公布“2024年辽宁省医疗机构（含军队医疗机构）检验结果互认机构名单”的通知</w:t>
      </w:r>
    </w:p>
    <w:p>
      <w:pPr>
        <w:pStyle w:val="13"/>
        <w:numPr>
          <w:ilvl w:val="0"/>
          <w:numId w:val="4"/>
        </w:numPr>
        <w:tabs>
          <w:tab w:val="left" w:pos="960"/>
        </w:tabs>
        <w:spacing w:line="360" w:lineRule="auto"/>
        <w:rPr>
          <w:rFonts w:hint="eastAsia" w:ascii="黑体" w:eastAsia="黑体"/>
          <w:spacing w:val="-4"/>
          <w:sz w:val="32"/>
          <w:szCs w:val="32"/>
        </w:rPr>
      </w:pPr>
      <w:r>
        <w:rPr>
          <w:rFonts w:ascii="黑体" w:eastAsia="黑体"/>
          <w:spacing w:val="-4"/>
          <w:sz w:val="32"/>
          <w:szCs w:val="32"/>
        </w:rPr>
        <w:t>文件主要内容制定论据</w:t>
      </w:r>
    </w:p>
    <w:p>
      <w:pPr>
        <w:widowControl/>
        <w:autoSpaceDE/>
        <w:autoSpaceDN/>
        <w:spacing w:line="360" w:lineRule="auto"/>
        <w:ind w:firstLine="480"/>
        <w:rPr>
          <w:rFonts w:hint="eastAsia"/>
          <w:spacing w:val="-6"/>
          <w:sz w:val="32"/>
          <w:szCs w:val="32"/>
          <w:lang w:eastAsia="zh-CN"/>
        </w:rPr>
      </w:pPr>
      <w:r>
        <w:rPr>
          <w:rFonts w:hint="eastAsia"/>
          <w:spacing w:val="-6"/>
          <w:sz w:val="32"/>
          <w:szCs w:val="32"/>
          <w:lang w:eastAsia="zh-CN"/>
        </w:rPr>
        <w:t>本标准制定依据《</w:t>
      </w:r>
      <w:r>
        <w:rPr>
          <w:spacing w:val="-6"/>
          <w:sz w:val="32"/>
          <w:szCs w:val="32"/>
          <w:lang w:eastAsia="zh-CN"/>
        </w:rPr>
        <w:t>WS 445.4 电子病历基本数据集 第4部分：检查检验记录</w:t>
      </w:r>
      <w:r>
        <w:rPr>
          <w:rFonts w:hint="eastAsia"/>
          <w:spacing w:val="-6"/>
          <w:sz w:val="32"/>
          <w:szCs w:val="32"/>
          <w:lang w:eastAsia="zh-CN"/>
        </w:rPr>
        <w:t>》、《</w:t>
      </w:r>
      <w:r>
        <w:rPr>
          <w:spacing w:val="-6"/>
          <w:sz w:val="32"/>
          <w:szCs w:val="32"/>
          <w:lang w:eastAsia="zh-CN"/>
        </w:rPr>
        <w:t>WS/T 447 基于电子病历的医院信息平台技术规范</w:t>
      </w:r>
      <w:r>
        <w:rPr>
          <w:rFonts w:hint="eastAsia"/>
          <w:spacing w:val="-6"/>
          <w:sz w:val="32"/>
          <w:szCs w:val="32"/>
          <w:lang w:eastAsia="zh-CN"/>
        </w:rPr>
        <w:t>》、《</w:t>
      </w:r>
      <w:r>
        <w:rPr>
          <w:spacing w:val="-6"/>
          <w:sz w:val="32"/>
          <w:szCs w:val="32"/>
          <w:lang w:eastAsia="zh-CN"/>
        </w:rPr>
        <w:t>国家卫生健康委等四部委.关于印发医疗机构检查检验结果互认管理办法的通知（国卫医发〔2022〕6号</w:t>
      </w:r>
      <w:r>
        <w:rPr>
          <w:rFonts w:hint="eastAsia"/>
          <w:spacing w:val="-6"/>
          <w:sz w:val="32"/>
          <w:szCs w:val="32"/>
          <w:lang w:eastAsia="zh-CN"/>
        </w:rPr>
        <w:t>）》、《关于印发辽宁省医疗机构医学影像检查资料和医学检验结果互认工作实施方案（试行）的通知》、《</w:t>
      </w:r>
      <w:r>
        <w:rPr>
          <w:spacing w:val="-6"/>
          <w:sz w:val="32"/>
          <w:szCs w:val="32"/>
          <w:lang w:eastAsia="zh-CN"/>
        </w:rPr>
        <w:t xml:space="preserve">GB/T 39725-2020  </w:t>
      </w:r>
      <w:r>
        <w:rPr>
          <w:rFonts w:hint="eastAsia"/>
          <w:spacing w:val="-6"/>
          <w:sz w:val="32"/>
          <w:szCs w:val="32"/>
          <w:lang w:eastAsia="zh-CN"/>
        </w:rPr>
        <w:t>信息安全技术健康医疗数据安全指南》、《</w:t>
      </w:r>
      <w:r>
        <w:rPr>
          <w:spacing w:val="-6"/>
          <w:sz w:val="32"/>
          <w:szCs w:val="32"/>
          <w:lang w:eastAsia="zh-CN"/>
        </w:rPr>
        <w:t>GB/T 20269 信息安全技术 信息系统安全管理要求</w:t>
      </w:r>
      <w:r>
        <w:rPr>
          <w:rFonts w:hint="eastAsia"/>
          <w:spacing w:val="-6"/>
          <w:sz w:val="32"/>
          <w:szCs w:val="32"/>
          <w:lang w:eastAsia="zh-CN"/>
        </w:rPr>
        <w:t>》、《</w:t>
      </w:r>
      <w:r>
        <w:rPr>
          <w:spacing w:val="-6"/>
          <w:sz w:val="32"/>
          <w:szCs w:val="32"/>
          <w:lang w:eastAsia="zh-CN"/>
        </w:rPr>
        <w:t>GB/T 20270 信息安全技术 网络基础安全技术要求</w:t>
      </w:r>
      <w:r>
        <w:rPr>
          <w:rFonts w:hint="eastAsia"/>
          <w:spacing w:val="-6"/>
          <w:sz w:val="32"/>
          <w:szCs w:val="32"/>
          <w:lang w:eastAsia="zh-CN"/>
        </w:rPr>
        <w:t>》、《</w:t>
      </w:r>
      <w:r>
        <w:rPr>
          <w:spacing w:val="-6"/>
          <w:sz w:val="32"/>
          <w:szCs w:val="32"/>
          <w:lang w:eastAsia="zh-CN"/>
        </w:rPr>
        <w:t>GB/T 22239 信息安全技术 网络安全等级保护基本要求</w:t>
      </w:r>
      <w:r>
        <w:rPr>
          <w:rFonts w:hint="eastAsia"/>
          <w:spacing w:val="-6"/>
          <w:sz w:val="32"/>
          <w:szCs w:val="32"/>
          <w:lang w:eastAsia="zh-CN"/>
        </w:rPr>
        <w:t>》、《</w:t>
      </w:r>
      <w:r>
        <w:rPr>
          <w:spacing w:val="-6"/>
          <w:sz w:val="32"/>
          <w:szCs w:val="32"/>
          <w:lang w:eastAsia="zh-CN"/>
        </w:rPr>
        <w:t>GB/T 25068.2 信息技术 安全技术 网络安全 第2部分：网络安全设计和实现指南</w:t>
      </w:r>
      <w:r>
        <w:rPr>
          <w:rFonts w:hint="eastAsia"/>
          <w:spacing w:val="-6"/>
          <w:sz w:val="32"/>
          <w:szCs w:val="32"/>
          <w:lang w:eastAsia="zh-CN"/>
        </w:rPr>
        <w:t>》、《</w:t>
      </w:r>
      <w:r>
        <w:rPr>
          <w:spacing w:val="-6"/>
          <w:sz w:val="32"/>
          <w:szCs w:val="32"/>
          <w:lang w:eastAsia="zh-CN"/>
        </w:rPr>
        <w:t>GB/T 28452 信息安全技术 应用软件系统通用安全技术要求</w:t>
      </w:r>
      <w:r>
        <w:rPr>
          <w:rFonts w:hint="eastAsia"/>
          <w:spacing w:val="-6"/>
          <w:sz w:val="32"/>
          <w:szCs w:val="32"/>
          <w:lang w:eastAsia="zh-CN"/>
        </w:rPr>
        <w:t>》、《</w:t>
      </w:r>
      <w:r>
        <w:rPr>
          <w:spacing w:val="-6"/>
          <w:sz w:val="32"/>
          <w:szCs w:val="32"/>
          <w:lang w:eastAsia="zh-CN"/>
        </w:rPr>
        <w:t>GB/T 30882.1 信息技术 应用软件系统技术要求 第1部分：基于B/S体系结构的应用软件系统基本要求</w:t>
      </w:r>
      <w:r>
        <w:rPr>
          <w:rFonts w:hint="eastAsia"/>
          <w:spacing w:val="-6"/>
          <w:sz w:val="32"/>
          <w:szCs w:val="32"/>
          <w:lang w:eastAsia="zh-CN"/>
        </w:rPr>
        <w:t>》、《WS 363.1—2023    卫生健康信息数据元目录第1部分：总则》、《GM/T 0004-2012    SM3 杂凑密码算法》、《GM/T 0009-2012    SM2 密码算法使用规范》、《GM/T 0002-2012   SM4分组密码算法》、《GB/T 2260  中华人民共和国行政区划代码》等标准规范。</w:t>
      </w:r>
    </w:p>
    <w:p>
      <w:pPr>
        <w:pStyle w:val="4"/>
        <w:spacing w:line="417" w:lineRule="auto"/>
        <w:ind w:left="117" w:right="396" w:firstLine="559"/>
        <w:rPr>
          <w:rFonts w:ascii="黑体" w:eastAsia="黑体"/>
          <w:sz w:val="32"/>
          <w:szCs w:val="32"/>
          <w:lang w:eastAsia="zh-CN"/>
        </w:rPr>
      </w:pPr>
      <w:r>
        <w:rPr>
          <w:rFonts w:hint="eastAsia" w:ascii="黑体" w:eastAsia="黑体"/>
          <w:spacing w:val="-4"/>
          <w:sz w:val="32"/>
          <w:szCs w:val="32"/>
          <w:lang w:eastAsia="zh-CN"/>
        </w:rPr>
        <w:t>三、主要试验（或验证）的分析、综述报告，技术经济论证，预</w:t>
      </w:r>
      <w:r>
        <w:rPr>
          <w:rFonts w:hint="eastAsia" w:ascii="黑体" w:eastAsia="黑体"/>
          <w:spacing w:val="-2"/>
          <w:sz w:val="32"/>
          <w:szCs w:val="32"/>
          <w:lang w:eastAsia="zh-CN"/>
        </w:rPr>
        <w:t>期经济社会效益</w:t>
      </w:r>
    </w:p>
    <w:p>
      <w:pPr>
        <w:pStyle w:val="13"/>
        <w:numPr>
          <w:ilvl w:val="0"/>
          <w:numId w:val="6"/>
        </w:numPr>
        <w:tabs>
          <w:tab w:val="left" w:pos="960"/>
        </w:tabs>
        <w:spacing w:before="240" w:beforeLines="100" w:after="240" w:afterLines="100"/>
        <w:rPr>
          <w:rFonts w:ascii="黑体" w:eastAsia="黑体"/>
          <w:sz w:val="28"/>
          <w:lang w:eastAsia="zh-CN"/>
        </w:rPr>
      </w:pPr>
      <w:r>
        <w:rPr>
          <w:rFonts w:hint="eastAsia" w:ascii="黑体" w:eastAsia="黑体"/>
          <w:spacing w:val="-3"/>
          <w:sz w:val="28"/>
          <w:lang w:eastAsia="zh-CN"/>
        </w:rPr>
        <w:t>主要验证的分析、综述报告</w:t>
      </w:r>
    </w:p>
    <w:p>
      <w:pPr>
        <w:pStyle w:val="4"/>
        <w:spacing w:line="417" w:lineRule="auto"/>
        <w:ind w:left="117" w:right="114" w:firstLine="559"/>
        <w:rPr>
          <w:spacing w:val="-11"/>
          <w:sz w:val="32"/>
          <w:szCs w:val="32"/>
          <w:lang w:eastAsia="zh-CN"/>
        </w:rPr>
      </w:pPr>
      <w:r>
        <w:rPr>
          <w:rFonts w:hint="eastAsia"/>
          <w:spacing w:val="-11"/>
          <w:sz w:val="32"/>
          <w:szCs w:val="32"/>
          <w:lang w:eastAsia="zh-CN"/>
        </w:rPr>
        <w:t>大连医科大学附属第二医院、辽宁省人民医院等已经按此标准进行了医疗机构检查检验结果互认的建设工作，实现检查检验结果互认。</w:t>
      </w:r>
    </w:p>
    <w:p>
      <w:pPr>
        <w:pStyle w:val="4"/>
        <w:spacing w:line="417" w:lineRule="auto"/>
        <w:ind w:left="117" w:right="395" w:firstLine="559"/>
        <w:rPr>
          <w:sz w:val="32"/>
          <w:szCs w:val="32"/>
          <w:lang w:eastAsia="zh-CN"/>
        </w:rPr>
      </w:pPr>
      <w:r>
        <w:rPr>
          <w:spacing w:val="-4"/>
          <w:sz w:val="32"/>
          <w:szCs w:val="32"/>
          <w:lang w:eastAsia="zh-CN"/>
        </w:rPr>
        <w:t>综上，通过对《</w:t>
      </w:r>
      <w:r>
        <w:rPr>
          <w:rFonts w:hint="eastAsia"/>
          <w:spacing w:val="-4"/>
          <w:sz w:val="32"/>
          <w:szCs w:val="32"/>
          <w:lang w:eastAsia="zh-CN"/>
        </w:rPr>
        <w:t>医疗机构检查检验结果互认数据传输及应用要求</w:t>
      </w:r>
      <w:r>
        <w:rPr>
          <w:spacing w:val="-4"/>
          <w:sz w:val="32"/>
          <w:szCs w:val="32"/>
          <w:lang w:eastAsia="zh-CN"/>
        </w:rPr>
        <w:t>》地方标准验证得</w:t>
      </w:r>
      <w:r>
        <w:rPr>
          <w:spacing w:val="-2"/>
          <w:sz w:val="32"/>
          <w:szCs w:val="32"/>
          <w:lang w:eastAsia="zh-CN"/>
        </w:rPr>
        <w:t>到以下研究结论：</w:t>
      </w:r>
    </w:p>
    <w:p>
      <w:pPr>
        <w:pStyle w:val="4"/>
        <w:spacing w:line="358" w:lineRule="exact"/>
        <w:ind w:left="676"/>
        <w:rPr>
          <w:sz w:val="32"/>
          <w:szCs w:val="32"/>
          <w:lang w:eastAsia="zh-CN"/>
        </w:rPr>
      </w:pPr>
      <w:r>
        <w:rPr>
          <w:spacing w:val="-2"/>
          <w:sz w:val="32"/>
          <w:szCs w:val="32"/>
          <w:lang w:eastAsia="zh-CN"/>
        </w:rPr>
        <w:t>（一）</w:t>
      </w:r>
      <w:r>
        <w:rPr>
          <w:rFonts w:hint="eastAsia"/>
          <w:spacing w:val="-3"/>
          <w:sz w:val="32"/>
          <w:szCs w:val="32"/>
          <w:lang w:eastAsia="zh-CN"/>
        </w:rPr>
        <w:t>提升医疗服务质量</w:t>
      </w:r>
    </w:p>
    <w:p>
      <w:pPr>
        <w:pStyle w:val="4"/>
        <w:spacing w:before="7"/>
        <w:rPr>
          <w:sz w:val="20"/>
          <w:lang w:eastAsia="zh-CN"/>
        </w:rPr>
      </w:pPr>
    </w:p>
    <w:p>
      <w:pPr>
        <w:pStyle w:val="4"/>
        <w:spacing w:line="417" w:lineRule="auto"/>
        <w:ind w:left="117" w:right="395" w:firstLine="559"/>
        <w:rPr>
          <w:spacing w:val="-4"/>
          <w:sz w:val="32"/>
          <w:szCs w:val="32"/>
          <w:lang w:eastAsia="zh-CN"/>
        </w:rPr>
      </w:pPr>
      <w:r>
        <w:rPr>
          <w:rFonts w:hint="eastAsia"/>
          <w:spacing w:val="-4"/>
          <w:sz w:val="32"/>
          <w:szCs w:val="32"/>
          <w:lang w:eastAsia="zh-CN"/>
        </w:rPr>
        <w:t>连续医疗服务：使医生能够更全面、连续地了解患者的病情变化和治疗情况，为准确诊断和制定合理的治疗方案提供更有力的依据，有助于提高医疗服务的准确性和安全性，减少误诊和漏诊的发生。</w:t>
      </w:r>
    </w:p>
    <w:p>
      <w:pPr>
        <w:pStyle w:val="4"/>
        <w:spacing w:line="417" w:lineRule="auto"/>
        <w:ind w:left="117" w:right="395" w:firstLine="559"/>
        <w:rPr>
          <w:spacing w:val="-4"/>
          <w:lang w:eastAsia="zh-CN"/>
        </w:rPr>
      </w:pPr>
      <w:r>
        <w:rPr>
          <w:rFonts w:hint="eastAsia"/>
          <w:spacing w:val="-4"/>
          <w:sz w:val="32"/>
          <w:szCs w:val="32"/>
          <w:lang w:eastAsia="zh-CN"/>
        </w:rPr>
        <w:t>医疗信息化：促进不同医疗机构之间的信息共享和协同，推动医疗信息化建设，为实现区域医疗一体化和分级诊疗提供支持，使患者在不同层级的医疗机构之间能够得到更顺畅、高效的医疗服务。</w:t>
      </w:r>
    </w:p>
    <w:p>
      <w:pPr>
        <w:pStyle w:val="4"/>
        <w:spacing w:line="417" w:lineRule="auto"/>
        <w:ind w:left="117" w:right="395" w:firstLine="559"/>
        <w:rPr>
          <w:spacing w:val="-4"/>
          <w:sz w:val="32"/>
          <w:szCs w:val="32"/>
          <w:lang w:eastAsia="zh-CN"/>
        </w:rPr>
      </w:pPr>
      <w:r>
        <w:rPr>
          <w:spacing w:val="-4"/>
          <w:sz w:val="32"/>
          <w:szCs w:val="32"/>
          <w:lang w:eastAsia="zh-CN"/>
        </w:rPr>
        <w:t xml:space="preserve"> </w:t>
      </w:r>
      <w:r>
        <w:rPr>
          <w:spacing w:val="-3"/>
          <w:sz w:val="32"/>
          <w:szCs w:val="32"/>
          <w:lang w:eastAsia="zh-CN"/>
        </w:rPr>
        <w:t>（二）</w:t>
      </w:r>
      <w:r>
        <w:rPr>
          <w:rFonts w:hint="eastAsia"/>
          <w:spacing w:val="-3"/>
          <w:sz w:val="32"/>
          <w:szCs w:val="32"/>
          <w:lang w:eastAsia="zh-CN"/>
        </w:rPr>
        <w:t>促进医疗公平</w:t>
      </w:r>
    </w:p>
    <w:p>
      <w:pPr>
        <w:pStyle w:val="4"/>
        <w:spacing w:line="417" w:lineRule="auto"/>
        <w:ind w:left="117" w:right="395" w:firstLine="559"/>
        <w:rPr>
          <w:spacing w:val="-4"/>
          <w:sz w:val="32"/>
          <w:szCs w:val="32"/>
          <w:lang w:eastAsia="zh-CN"/>
        </w:rPr>
      </w:pPr>
      <w:r>
        <w:rPr>
          <w:rFonts w:hint="eastAsia"/>
          <w:spacing w:val="-4"/>
          <w:sz w:val="32"/>
          <w:szCs w:val="32"/>
          <w:lang w:eastAsia="zh-CN"/>
        </w:rPr>
        <w:t>无论患者在大医院还是基层医院就诊，其检查检验结果都能得到认可，避免了因医疗机构级别不同而导致的重复检查，让患者能够享受到更加公平的医疗服务，不因医院差异而增加就医成本和负担</w:t>
      </w:r>
      <w:r>
        <w:rPr>
          <w:spacing w:val="-4"/>
          <w:sz w:val="32"/>
          <w:szCs w:val="32"/>
          <w:lang w:eastAsia="zh-CN"/>
        </w:rPr>
        <w:t>。</w:t>
      </w:r>
    </w:p>
    <w:p>
      <w:pPr>
        <w:pStyle w:val="4"/>
        <w:spacing w:line="417" w:lineRule="auto"/>
        <w:ind w:left="117" w:right="395" w:firstLine="559"/>
        <w:rPr>
          <w:spacing w:val="-3"/>
          <w:sz w:val="32"/>
          <w:szCs w:val="32"/>
          <w:lang w:eastAsia="zh-CN"/>
        </w:rPr>
      </w:pPr>
      <w:r>
        <w:rPr>
          <w:spacing w:val="-3"/>
          <w:sz w:val="32"/>
          <w:szCs w:val="32"/>
          <w:lang w:eastAsia="zh-CN"/>
        </w:rPr>
        <w:t>（三）</w:t>
      </w:r>
      <w:r>
        <w:rPr>
          <w:rFonts w:hint="eastAsia"/>
          <w:spacing w:val="-3"/>
          <w:sz w:val="32"/>
          <w:szCs w:val="32"/>
          <w:lang w:eastAsia="zh-CN"/>
        </w:rPr>
        <w:t>推动医疗行业规范发展</w:t>
      </w:r>
    </w:p>
    <w:p>
      <w:pPr>
        <w:pStyle w:val="4"/>
        <w:spacing w:line="417" w:lineRule="auto"/>
        <w:ind w:left="117" w:right="395" w:firstLine="559"/>
        <w:rPr>
          <w:spacing w:val="-4"/>
          <w:sz w:val="32"/>
          <w:szCs w:val="32"/>
          <w:lang w:eastAsia="zh-CN"/>
        </w:rPr>
      </w:pPr>
      <w:r>
        <w:rPr>
          <w:rFonts w:hint="eastAsia"/>
          <w:spacing w:val="-4"/>
          <w:sz w:val="32"/>
          <w:szCs w:val="32"/>
          <w:lang w:eastAsia="zh-CN"/>
        </w:rPr>
        <w:t>检查检验结果互认促使各医疗机构提高检查检验质量，加强质量管理和标准化建设，以确保其出具的结果能够得到其他医院的认可，有利于推动整个医疗行业的规范化和标准化发展。</w:t>
      </w:r>
    </w:p>
    <w:p>
      <w:pPr>
        <w:pStyle w:val="13"/>
        <w:numPr>
          <w:ilvl w:val="0"/>
          <w:numId w:val="6"/>
        </w:numPr>
        <w:tabs>
          <w:tab w:val="left" w:pos="960"/>
        </w:tabs>
        <w:spacing w:before="240" w:beforeLines="100" w:after="240" w:afterLines="100" w:line="360" w:lineRule="auto"/>
        <w:rPr>
          <w:rFonts w:ascii="黑体" w:eastAsia="黑体"/>
          <w:spacing w:val="-3"/>
          <w:sz w:val="28"/>
          <w:lang w:eastAsia="zh-CN"/>
        </w:rPr>
      </w:pPr>
      <w:r>
        <w:rPr>
          <w:rFonts w:hint="eastAsia" w:ascii="黑体" w:eastAsia="黑体"/>
          <w:spacing w:val="-3"/>
          <w:sz w:val="28"/>
          <w:lang w:eastAsia="zh-CN"/>
        </w:rPr>
        <w:t>预期经济社会效益</w:t>
      </w:r>
    </w:p>
    <w:p>
      <w:pPr>
        <w:pStyle w:val="4"/>
        <w:spacing w:before="1" w:line="417" w:lineRule="auto"/>
        <w:ind w:left="117" w:right="392" w:firstLine="559"/>
        <w:jc w:val="both"/>
        <w:rPr>
          <w:spacing w:val="-4"/>
          <w:sz w:val="32"/>
          <w:szCs w:val="32"/>
          <w:lang w:eastAsia="zh-CN"/>
        </w:rPr>
      </w:pPr>
      <w:r>
        <w:rPr>
          <w:rFonts w:hint="eastAsia"/>
          <w:spacing w:val="-4"/>
          <w:sz w:val="32"/>
          <w:szCs w:val="32"/>
          <w:lang w:eastAsia="zh-CN"/>
        </w:rPr>
        <w:t>检查检验结果互认</w:t>
      </w:r>
      <w:r>
        <w:rPr>
          <w:spacing w:val="-4"/>
          <w:sz w:val="32"/>
          <w:szCs w:val="32"/>
          <w:lang w:eastAsia="zh-CN"/>
        </w:rPr>
        <w:t>建设</w:t>
      </w:r>
      <w:r>
        <w:rPr>
          <w:rFonts w:hint="eastAsia"/>
          <w:spacing w:val="-4"/>
          <w:sz w:val="32"/>
          <w:szCs w:val="32"/>
          <w:lang w:eastAsia="zh-CN"/>
        </w:rPr>
        <w:t>工作的经济社会效益，主要体现在以下几个方面：</w:t>
      </w:r>
    </w:p>
    <w:p>
      <w:pPr>
        <w:pStyle w:val="4"/>
        <w:spacing w:before="1" w:line="417" w:lineRule="auto"/>
        <w:ind w:left="117" w:right="392" w:firstLine="559"/>
        <w:jc w:val="both"/>
        <w:rPr>
          <w:spacing w:val="-4"/>
          <w:sz w:val="32"/>
          <w:szCs w:val="32"/>
          <w:lang w:eastAsia="zh-CN"/>
        </w:rPr>
      </w:pPr>
      <w:r>
        <w:rPr>
          <w:spacing w:val="-4"/>
          <w:sz w:val="32"/>
          <w:szCs w:val="32"/>
          <w:lang w:eastAsia="zh-CN"/>
        </w:rPr>
        <w:t>减轻患者经济负担</w:t>
      </w:r>
      <w:r>
        <w:rPr>
          <w:rFonts w:hint="eastAsia"/>
          <w:spacing w:val="-4"/>
          <w:sz w:val="32"/>
          <w:szCs w:val="32"/>
          <w:lang w:eastAsia="zh-CN"/>
        </w:rPr>
        <w:t>方面</w:t>
      </w:r>
      <w:r>
        <w:rPr>
          <w:spacing w:val="-4"/>
          <w:sz w:val="32"/>
          <w:szCs w:val="32"/>
          <w:lang w:eastAsia="zh-CN"/>
        </w:rPr>
        <w:t>：患者无需在不同医院重复做相同检查检验，直接节省费用。以一次 MRI 检查平均 1000 元计算，若因互认避免重复检查，全</w:t>
      </w:r>
      <w:r>
        <w:rPr>
          <w:rFonts w:hint="eastAsia"/>
          <w:spacing w:val="-4"/>
          <w:sz w:val="32"/>
          <w:szCs w:val="32"/>
          <w:lang w:eastAsia="zh-CN"/>
        </w:rPr>
        <w:t>省</w:t>
      </w:r>
      <w:r>
        <w:rPr>
          <w:spacing w:val="-4"/>
          <w:sz w:val="32"/>
          <w:szCs w:val="32"/>
          <w:lang w:eastAsia="zh-CN"/>
        </w:rPr>
        <w:t>每年大量患者能节省巨额开支。同时，减少因重复检查产生的交通、住宿等额外费用，让患者将资金用于更必要的治疗和康复环节。</w:t>
      </w:r>
    </w:p>
    <w:p>
      <w:pPr>
        <w:pStyle w:val="4"/>
        <w:spacing w:before="1" w:line="417" w:lineRule="auto"/>
        <w:ind w:left="117" w:right="392" w:firstLine="559"/>
        <w:jc w:val="both"/>
        <w:rPr>
          <w:spacing w:val="-4"/>
          <w:sz w:val="32"/>
          <w:szCs w:val="32"/>
          <w:lang w:eastAsia="zh-CN"/>
        </w:rPr>
      </w:pPr>
      <w:r>
        <w:rPr>
          <w:spacing w:val="-4"/>
          <w:sz w:val="32"/>
          <w:szCs w:val="32"/>
          <w:lang w:eastAsia="zh-CN"/>
        </w:rPr>
        <w:t>提升医疗资源利用效率</w:t>
      </w:r>
      <w:r>
        <w:rPr>
          <w:rFonts w:hint="eastAsia"/>
          <w:spacing w:val="-4"/>
          <w:sz w:val="32"/>
          <w:szCs w:val="32"/>
          <w:lang w:eastAsia="zh-CN"/>
        </w:rPr>
        <w:t>方面</w:t>
      </w:r>
      <w:r>
        <w:rPr>
          <w:spacing w:val="-4"/>
          <w:sz w:val="32"/>
          <w:szCs w:val="32"/>
          <w:lang w:eastAsia="zh-CN"/>
        </w:rPr>
        <w:t>：医院减少对重复检查设备的采购投入，可将资金用于提升医疗服务其他方面，如优化病房设施、开展新技术研究。检查设备使用频率更合理，避免资源闲置浪费，医务人员也能把精力更多投入到诊断治疗核心工作，提高工作效率，间接创造经济效益。</w:t>
      </w:r>
    </w:p>
    <w:p>
      <w:pPr>
        <w:pStyle w:val="4"/>
        <w:spacing w:before="1" w:line="417" w:lineRule="auto"/>
        <w:ind w:left="117" w:right="392" w:firstLine="559"/>
        <w:jc w:val="both"/>
        <w:rPr>
          <w:spacing w:val="-4"/>
          <w:sz w:val="32"/>
          <w:szCs w:val="32"/>
          <w:lang w:eastAsia="zh-CN"/>
        </w:rPr>
      </w:pPr>
      <w:r>
        <w:rPr>
          <w:spacing w:val="-4"/>
          <w:sz w:val="32"/>
          <w:szCs w:val="32"/>
          <w:lang w:eastAsia="zh-CN"/>
        </w:rPr>
        <w:t>推动分级诊疗实施</w:t>
      </w:r>
      <w:r>
        <w:rPr>
          <w:rFonts w:hint="eastAsia"/>
          <w:spacing w:val="-4"/>
          <w:sz w:val="32"/>
          <w:szCs w:val="32"/>
          <w:lang w:eastAsia="zh-CN"/>
        </w:rPr>
        <w:t>方面</w:t>
      </w:r>
      <w:r>
        <w:rPr>
          <w:spacing w:val="-4"/>
          <w:sz w:val="32"/>
          <w:szCs w:val="32"/>
          <w:lang w:eastAsia="zh-CN"/>
        </w:rPr>
        <w:t>：患者因结果互认更信任基层医疗机构检查，愿意先在基层就诊，缓解大医院就诊压力，形成有序就医格局。基层医院业务量提升，促进其发展，合理分配医疗资源，构建更高效医疗体系，长远看节省社会医疗成本。</w:t>
      </w:r>
    </w:p>
    <w:p>
      <w:pPr>
        <w:pStyle w:val="4"/>
        <w:spacing w:before="1" w:line="417" w:lineRule="auto"/>
        <w:ind w:left="117" w:right="392" w:firstLine="559"/>
        <w:jc w:val="both"/>
        <w:rPr>
          <w:spacing w:val="-4"/>
          <w:sz w:val="32"/>
          <w:szCs w:val="32"/>
          <w:lang w:eastAsia="zh-CN"/>
        </w:rPr>
      </w:pPr>
      <w:r>
        <w:rPr>
          <w:spacing w:val="-4"/>
          <w:sz w:val="32"/>
          <w:szCs w:val="32"/>
          <w:lang w:eastAsia="zh-CN"/>
        </w:rPr>
        <w:t>促进医疗行业标准化建设</w:t>
      </w:r>
      <w:r>
        <w:rPr>
          <w:rFonts w:hint="eastAsia"/>
          <w:spacing w:val="-4"/>
          <w:sz w:val="32"/>
          <w:szCs w:val="32"/>
          <w:lang w:eastAsia="zh-CN"/>
        </w:rPr>
        <w:t>方面</w:t>
      </w:r>
      <w:r>
        <w:rPr>
          <w:spacing w:val="-4"/>
          <w:sz w:val="32"/>
          <w:szCs w:val="32"/>
          <w:lang w:eastAsia="zh-CN"/>
        </w:rPr>
        <w:t>：为实现互认，医疗机构需统一检查检验标准，规范操作流程和报告格式。这提升了医疗质量，减少医疗差错，增强患者对医疗行业信任，改善医患关系，利于医疗行业健康发展，带来无形社会经济效益。</w:t>
      </w:r>
    </w:p>
    <w:p>
      <w:pPr>
        <w:pStyle w:val="4"/>
        <w:spacing w:before="1" w:line="417" w:lineRule="auto"/>
        <w:ind w:left="117" w:right="392" w:firstLine="559"/>
        <w:jc w:val="both"/>
        <w:rPr>
          <w:spacing w:val="-4"/>
          <w:sz w:val="32"/>
          <w:szCs w:val="32"/>
          <w:lang w:eastAsia="zh-CN"/>
        </w:rPr>
      </w:pPr>
      <w:r>
        <w:rPr>
          <w:spacing w:val="-4"/>
          <w:sz w:val="32"/>
          <w:szCs w:val="32"/>
          <w:lang w:eastAsia="zh-CN"/>
        </w:rPr>
        <w:t>助力医疗信息化发展</w:t>
      </w:r>
      <w:r>
        <w:rPr>
          <w:rFonts w:hint="eastAsia"/>
          <w:spacing w:val="-4"/>
          <w:sz w:val="32"/>
          <w:szCs w:val="32"/>
          <w:lang w:eastAsia="zh-CN"/>
        </w:rPr>
        <w:t>方面</w:t>
      </w:r>
      <w:r>
        <w:rPr>
          <w:spacing w:val="-4"/>
          <w:sz w:val="32"/>
          <w:szCs w:val="32"/>
          <w:lang w:eastAsia="zh-CN"/>
        </w:rPr>
        <w:t>：互认要求建立信息共享平台，推动医疗信息化进程。平台建设带动相关产业发展，创造就业岗位。信息流通使科研人员获取更多数据，加速医学研究突破，长远看对社会经济发展有积极推动作用。</w:t>
      </w:r>
    </w:p>
    <w:p>
      <w:pPr>
        <w:pStyle w:val="4"/>
        <w:spacing w:before="1" w:line="417" w:lineRule="auto"/>
        <w:ind w:left="117" w:right="392" w:firstLine="559"/>
        <w:jc w:val="both"/>
        <w:rPr>
          <w:lang w:eastAsia="zh-CN"/>
        </w:rPr>
      </w:pPr>
      <w:r>
        <w:rPr>
          <w:sz w:val="32"/>
          <w:szCs w:val="32"/>
          <w:lang w:eastAsia="zh-CN"/>
        </w:rPr>
        <w:t xml:space="preserve"> </w:t>
      </w:r>
      <w:r>
        <w:rPr>
          <w:rFonts w:hint="eastAsia"/>
          <w:sz w:val="32"/>
          <w:szCs w:val="32"/>
          <w:lang w:eastAsia="zh-CN"/>
        </w:rPr>
        <w:t>《医疗机构检查检验结果互认数据传输及应用要求》标准的制定是提高医疗机构检查检验结果互认的建设工作水平，可大大提升检查检验结果互认的经济社会效益效果。</w:t>
      </w:r>
    </w:p>
    <w:p>
      <w:pPr>
        <w:pStyle w:val="4"/>
        <w:spacing w:line="417" w:lineRule="auto"/>
        <w:ind w:left="117" w:right="392" w:firstLine="559"/>
        <w:rPr>
          <w:rFonts w:ascii="黑体" w:eastAsia="黑体"/>
          <w:sz w:val="32"/>
          <w:szCs w:val="32"/>
          <w:lang w:eastAsia="zh-CN"/>
        </w:rPr>
      </w:pPr>
      <w:r>
        <w:rPr>
          <w:rFonts w:hint="eastAsia" w:ascii="黑体" w:eastAsia="黑体"/>
          <w:spacing w:val="-4"/>
          <w:sz w:val="32"/>
          <w:szCs w:val="32"/>
          <w:lang w:eastAsia="zh-CN"/>
        </w:rPr>
        <w:t>四、与现行有关法律、法规和国家标准、行业标准、地方标准的</w:t>
      </w:r>
      <w:r>
        <w:rPr>
          <w:rFonts w:hint="eastAsia" w:ascii="黑体" w:eastAsia="黑体"/>
          <w:spacing w:val="-6"/>
          <w:sz w:val="32"/>
          <w:szCs w:val="32"/>
          <w:lang w:eastAsia="zh-CN"/>
        </w:rPr>
        <w:t>关系</w:t>
      </w:r>
    </w:p>
    <w:p>
      <w:pPr>
        <w:pStyle w:val="4"/>
        <w:spacing w:line="417" w:lineRule="auto"/>
        <w:ind w:left="117" w:right="392" w:firstLine="559"/>
        <w:jc w:val="both"/>
        <w:rPr>
          <w:sz w:val="32"/>
          <w:szCs w:val="32"/>
          <w:lang w:eastAsia="zh-CN"/>
        </w:rPr>
      </w:pPr>
      <w:r>
        <w:rPr>
          <w:w w:val="95"/>
          <w:sz w:val="32"/>
          <w:szCs w:val="32"/>
          <w:lang w:eastAsia="zh-CN"/>
        </w:rPr>
        <w:t>本标准严</w:t>
      </w:r>
      <w:r>
        <w:rPr>
          <w:spacing w:val="23"/>
          <w:w w:val="95"/>
          <w:sz w:val="32"/>
          <w:szCs w:val="32"/>
          <w:lang w:eastAsia="zh-CN"/>
        </w:rPr>
        <w:t>格遵照</w:t>
      </w:r>
      <w:r>
        <w:rPr>
          <w:w w:val="95"/>
          <w:sz w:val="32"/>
          <w:szCs w:val="32"/>
          <w:lang w:eastAsia="zh-CN"/>
        </w:rPr>
        <w:t>GB/T</w:t>
      </w:r>
      <w:r>
        <w:rPr>
          <w:spacing w:val="40"/>
          <w:sz w:val="32"/>
          <w:szCs w:val="32"/>
          <w:lang w:eastAsia="zh-CN"/>
        </w:rPr>
        <w:t xml:space="preserve"> </w:t>
      </w:r>
      <w:r>
        <w:rPr>
          <w:w w:val="95"/>
          <w:sz w:val="32"/>
          <w:szCs w:val="32"/>
          <w:lang w:eastAsia="zh-CN"/>
        </w:rPr>
        <w:t>1.1-2020《标准化工作导则第 1 部分：标</w:t>
      </w:r>
      <w:r>
        <w:rPr>
          <w:spacing w:val="-4"/>
          <w:sz w:val="32"/>
          <w:szCs w:val="32"/>
          <w:lang w:eastAsia="zh-CN"/>
        </w:rPr>
        <w:t>准的结构和编写》的要求进行编制，与相关法律法规和标准要求相协调，符合国家有关现行法律法规和强制性标准的要求，与现行标准无冲突。</w:t>
      </w:r>
    </w:p>
    <w:p>
      <w:pPr>
        <w:pStyle w:val="4"/>
        <w:ind w:left="676"/>
        <w:rPr>
          <w:rFonts w:ascii="黑体" w:eastAsia="黑体"/>
          <w:spacing w:val="-3"/>
          <w:sz w:val="32"/>
          <w:szCs w:val="32"/>
          <w:lang w:eastAsia="zh-CN"/>
        </w:rPr>
      </w:pPr>
      <w:r>
        <w:rPr>
          <w:rFonts w:hint="eastAsia" w:ascii="黑体" w:eastAsia="黑体"/>
          <w:spacing w:val="-3"/>
          <w:sz w:val="32"/>
          <w:szCs w:val="32"/>
          <w:lang w:eastAsia="zh-CN"/>
        </w:rPr>
        <w:t>五、征求意见和分歧处理情况</w:t>
      </w:r>
    </w:p>
    <w:p>
      <w:pPr>
        <w:pStyle w:val="4"/>
        <w:ind w:left="676"/>
        <w:rPr>
          <w:rFonts w:ascii="黑体" w:eastAsia="黑体"/>
          <w:spacing w:val="-3"/>
          <w:lang w:eastAsia="zh-CN"/>
        </w:rPr>
      </w:pPr>
    </w:p>
    <w:p>
      <w:pPr>
        <w:pStyle w:val="4"/>
        <w:spacing w:before="1" w:line="417" w:lineRule="auto"/>
        <w:ind w:left="117" w:right="392" w:firstLine="559"/>
        <w:rPr>
          <w:spacing w:val="-4"/>
          <w:sz w:val="32"/>
          <w:szCs w:val="32"/>
          <w:lang w:eastAsia="zh-CN"/>
        </w:rPr>
      </w:pPr>
      <w:r>
        <w:rPr>
          <w:spacing w:val="-4"/>
          <w:sz w:val="32"/>
          <w:szCs w:val="32"/>
          <w:lang w:eastAsia="zh-CN"/>
        </w:rPr>
        <w:t>暂无分歧情况。</w:t>
      </w:r>
    </w:p>
    <w:p>
      <w:pPr>
        <w:pStyle w:val="4"/>
        <w:spacing w:line="360" w:lineRule="auto"/>
        <w:ind w:left="676"/>
        <w:rPr>
          <w:rFonts w:hint="eastAsia" w:ascii="黑体" w:eastAsia="黑体"/>
          <w:spacing w:val="-3"/>
          <w:sz w:val="32"/>
          <w:szCs w:val="32"/>
          <w:lang w:eastAsia="zh-CN"/>
        </w:rPr>
      </w:pPr>
      <w:r>
        <w:rPr>
          <w:rFonts w:hint="eastAsia" w:ascii="黑体" w:eastAsia="黑体"/>
          <w:spacing w:val="-3"/>
          <w:sz w:val="32"/>
          <w:szCs w:val="32"/>
          <w:lang w:eastAsia="zh-CN"/>
        </w:rPr>
        <w:t>六、推动标准实施的措施建议</w:t>
      </w:r>
    </w:p>
    <w:p>
      <w:pPr>
        <w:pStyle w:val="4"/>
        <w:spacing w:before="1" w:line="417" w:lineRule="auto"/>
        <w:ind w:left="117" w:right="392" w:firstLine="559"/>
        <w:rPr>
          <w:spacing w:val="-2"/>
          <w:sz w:val="32"/>
          <w:szCs w:val="32"/>
          <w:lang w:eastAsia="zh-CN"/>
        </w:rPr>
      </w:pPr>
      <w:r>
        <w:rPr>
          <w:spacing w:val="-4"/>
          <w:sz w:val="32"/>
          <w:szCs w:val="32"/>
          <w:lang w:eastAsia="zh-CN"/>
        </w:rPr>
        <w:t>本标准发布后、实施前将召开标准宣贯会议，对医疗机构</w:t>
      </w:r>
      <w:r>
        <w:rPr>
          <w:spacing w:val="-2"/>
          <w:sz w:val="32"/>
          <w:szCs w:val="32"/>
          <w:lang w:eastAsia="zh-CN"/>
        </w:rPr>
        <w:t>等各相关单位发放标准宣贯资料并解答标准实施中可能会产生的难点和疑点。建议加强对标准的宣传和执行。</w:t>
      </w:r>
    </w:p>
    <w:p>
      <w:pPr>
        <w:widowControl/>
        <w:kinsoku w:val="0"/>
        <w:adjustRightInd w:val="0"/>
        <w:snapToGrid w:val="0"/>
        <w:spacing w:line="360" w:lineRule="auto"/>
        <w:ind w:firstLine="688" w:firstLineChars="200"/>
        <w:textAlignment w:val="baseline"/>
        <w:rPr>
          <w:rFonts w:ascii="黑体" w:hAnsi="黑体" w:eastAsia="黑体" w:cs="黑体"/>
          <w:snapToGrid w:val="0"/>
          <w:color w:val="000000"/>
          <w:spacing w:val="12"/>
          <w:lang w:eastAsia="zh-CN"/>
        </w:rPr>
      </w:pPr>
      <w:r>
        <w:rPr>
          <w:rFonts w:hint="eastAsia" w:ascii="黑体" w:hAnsi="黑体" w:eastAsia="黑体" w:cs="黑体"/>
          <w:snapToGrid w:val="0"/>
          <w:color w:val="000000"/>
          <w:spacing w:val="12"/>
          <w:sz w:val="32"/>
          <w:szCs w:val="32"/>
          <w:lang w:eastAsia="zh-CN"/>
        </w:rPr>
        <w:t>七、拟作为强制性地方标准的须写明明确的法律法规依据</w:t>
      </w:r>
    </w:p>
    <w:p>
      <w:pPr>
        <w:widowControl/>
        <w:kinsoku w:val="0"/>
        <w:adjustRightInd w:val="0"/>
        <w:snapToGrid w:val="0"/>
        <w:spacing w:line="360" w:lineRule="auto"/>
        <w:ind w:firstLine="553"/>
        <w:textAlignment w:val="baseline"/>
        <w:rPr>
          <w:rFonts w:hint="eastAsia"/>
          <w:snapToGrid w:val="0"/>
          <w:color w:val="000000"/>
          <w:spacing w:val="2"/>
          <w:lang w:eastAsia="zh-CN"/>
        </w:rPr>
      </w:pPr>
      <w:r>
        <w:rPr>
          <w:rFonts w:hint="eastAsia"/>
          <w:snapToGrid w:val="0"/>
          <w:color w:val="000000"/>
          <w:spacing w:val="2"/>
          <w:sz w:val="32"/>
          <w:szCs w:val="32"/>
          <w:lang w:eastAsia="zh-CN"/>
        </w:rPr>
        <w:t>本标准属于推荐性地方标准，故此项无。</w:t>
      </w:r>
    </w:p>
    <w:p>
      <w:pPr>
        <w:pStyle w:val="4"/>
        <w:spacing w:line="358" w:lineRule="exact"/>
        <w:ind w:left="676"/>
        <w:rPr>
          <w:rFonts w:ascii="黑体" w:eastAsia="黑体"/>
          <w:sz w:val="32"/>
          <w:szCs w:val="32"/>
          <w:lang w:eastAsia="zh-CN"/>
        </w:rPr>
      </w:pPr>
      <w:r>
        <w:rPr>
          <w:rFonts w:hint="eastAsia" w:ascii="黑体" w:eastAsia="黑体"/>
          <w:spacing w:val="-3"/>
          <w:sz w:val="32"/>
          <w:szCs w:val="32"/>
          <w:lang w:eastAsia="zh-CN"/>
        </w:rPr>
        <w:t>八、其他应予说明的事项</w:t>
      </w:r>
    </w:p>
    <w:p>
      <w:pPr>
        <w:pStyle w:val="4"/>
        <w:spacing w:before="8"/>
        <w:rPr>
          <w:rFonts w:ascii="黑体"/>
          <w:sz w:val="20"/>
          <w:lang w:eastAsia="zh-CN"/>
        </w:rPr>
      </w:pPr>
    </w:p>
    <w:p>
      <w:pPr>
        <w:pStyle w:val="4"/>
        <w:spacing w:before="1"/>
        <w:ind w:left="676"/>
        <w:rPr>
          <w:sz w:val="32"/>
          <w:szCs w:val="32"/>
          <w:lang w:eastAsia="zh-CN"/>
        </w:rPr>
      </w:pPr>
      <w:r>
        <w:rPr>
          <w:spacing w:val="-3"/>
          <w:sz w:val="32"/>
          <w:szCs w:val="32"/>
          <w:lang w:eastAsia="zh-CN"/>
        </w:rPr>
        <w:t>无其他应予说明的事项。</w:t>
      </w:r>
    </w:p>
    <w:sectPr>
      <w:footerReference r:id="rId3" w:type="default"/>
      <w:pgSz w:w="11910" w:h="16840"/>
      <w:pgMar w:top="1520" w:right="1400" w:bottom="1180" w:left="1680" w:header="0" w:footer="99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3684905</wp:posOffset>
              </wp:positionH>
              <wp:positionV relativeFrom="page">
                <wp:posOffset>9921875</wp:posOffset>
              </wp:positionV>
              <wp:extent cx="204470" cy="152400"/>
              <wp:effectExtent l="0" t="0" r="0" b="0"/>
              <wp:wrapNone/>
              <wp:docPr id="1" name="docshape1"/>
              <wp:cNvGraphicFramePr/>
              <a:graphic xmlns:a="http://schemas.openxmlformats.org/drawingml/2006/main">
                <a:graphicData uri="http://schemas.microsoft.com/office/word/2010/wordprocessingShape">
                  <wps:wsp>
                    <wps:cNvSpPr txBox="1">
                      <a:spLocks noChangeArrowheads="1"/>
                    </wps:cNvSpPr>
                    <wps:spPr bwMode="auto">
                      <a:xfrm>
                        <a:off x="0" y="0"/>
                        <a:ext cx="204470" cy="152400"/>
                      </a:xfrm>
                      <a:prstGeom prst="rect">
                        <a:avLst/>
                      </a:prstGeom>
                      <a:noFill/>
                      <a:ln>
                        <a:noFill/>
                      </a:ln>
                    </wps:spPr>
                    <wps:txbx>
                      <w:txbxContent>
                        <w:p>
                          <w:pPr>
                            <w:spacing w:before="12"/>
                            <w:ind w:left="60"/>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10</w:t>
                          </w:r>
                          <w:r>
                            <w:rPr>
                              <w:rFonts w:ascii="Times New Roman"/>
                              <w:spacing w:val="-5"/>
                              <w:sz w:val="18"/>
                            </w:rPr>
                            <w:fldChar w:fldCharType="end"/>
                          </w:r>
                        </w:p>
                      </w:txbxContent>
                    </wps:txbx>
                    <wps:bodyPr rot="0" vert="horz" wrap="square" lIns="0" tIns="0" rIns="0" bIns="0" anchor="t" anchorCtr="0" upright="1">
                      <a:noAutofit/>
                    </wps:bodyPr>
                  </wps:wsp>
                </a:graphicData>
              </a:graphic>
            </wp:anchor>
          </w:drawing>
        </mc:Choice>
        <mc:Fallback>
          <w:pict>
            <v:shape id="docshape1" o:spid="_x0000_s1026" o:spt="202" type="#_x0000_t202" style="position:absolute;left:0pt;margin-left:290.15pt;margin-top:781.25pt;height:12pt;width:16.1pt;mso-position-horizontal-relative:page;mso-position-vertical-relative:page;z-index:-251657216;mso-width-relative:page;mso-height-relative:page;" filled="f" stroked="f" coordsize="21600,21600" o:gfxdata="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TnhMjaAAAADQEAAA8AAAAAAAAAAQAgAAAAIgAAAGRycy9kb3ducmV2&#10;LnhtbFBLAQIUABQAAAAIAIdO4kAYZnVm+gEAAAIEAAAOAAAAAAAAAAEAIAAAACkBAABkcnMvZTJv&#10;RG9jLnhtbFBLBQYAAAAABgAGAFkBAACVBQAAAAA=&#10;">
              <v:fill on="f" focussize="0,0"/>
              <v:stroke on="f"/>
              <v:imagedata o:title=""/>
              <o:lock v:ext="edit" aspectratio="f"/>
              <v:textbox inset="0mm,0mm,0mm,0mm">
                <w:txbxContent>
                  <w:p>
                    <w:pPr>
                      <w:spacing w:before="12"/>
                      <w:ind w:left="60"/>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10</w:t>
                    </w:r>
                    <w:r>
                      <w:rPr>
                        <w:rFonts w:ascii="Times New Roman"/>
                        <w:spacing w:val="-5"/>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3D5812"/>
    <w:multiLevelType w:val="multilevel"/>
    <w:tmpl w:val="0F3D5812"/>
    <w:lvl w:ilvl="0" w:tentative="0">
      <w:start w:val="1"/>
      <w:numFmt w:val="decimal"/>
      <w:pStyle w:val="26"/>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C9E0326"/>
    <w:multiLevelType w:val="multilevel"/>
    <w:tmpl w:val="1C9E0326"/>
    <w:lvl w:ilvl="0" w:tentative="0">
      <w:start w:val="2"/>
      <w:numFmt w:val="decimal"/>
      <w:lvlText w:val="%1."/>
      <w:lvlJc w:val="left"/>
      <w:pPr>
        <w:ind w:left="959" w:hanging="284"/>
      </w:pPr>
      <w:rPr>
        <w:rFonts w:hint="default" w:ascii="黑体" w:hAnsi="黑体" w:eastAsia="黑体" w:cs="黑体"/>
        <w:b w:val="0"/>
        <w:bCs w:val="0"/>
        <w:i w:val="0"/>
        <w:iCs w:val="0"/>
        <w:spacing w:val="-2"/>
        <w:w w:val="100"/>
        <w:sz w:val="26"/>
        <w:szCs w:val="26"/>
      </w:rPr>
    </w:lvl>
    <w:lvl w:ilvl="1" w:tentative="0">
      <w:start w:val="1"/>
      <w:numFmt w:val="decimal"/>
      <w:lvlText w:val="%1.%2"/>
      <w:lvlJc w:val="left"/>
      <w:pPr>
        <w:ind w:left="1236" w:hanging="560"/>
      </w:pPr>
      <w:rPr>
        <w:rFonts w:hint="default" w:ascii="仿宋" w:hAnsi="仿宋" w:eastAsia="仿宋" w:cs="仿宋"/>
        <w:b w:val="0"/>
        <w:bCs w:val="0"/>
        <w:i w:val="0"/>
        <w:iCs w:val="0"/>
        <w:spacing w:val="-2"/>
        <w:w w:val="100"/>
        <w:sz w:val="28"/>
        <w:szCs w:val="28"/>
      </w:rPr>
    </w:lvl>
    <w:lvl w:ilvl="2" w:tentative="0">
      <w:start w:val="1"/>
      <w:numFmt w:val="decimal"/>
      <w:lvlText w:val="%1.%2.%3"/>
      <w:lvlJc w:val="left"/>
      <w:pPr>
        <w:ind w:left="1447" w:hanging="771"/>
      </w:pPr>
      <w:rPr>
        <w:rFonts w:hint="default" w:ascii="仿宋" w:hAnsi="仿宋" w:eastAsia="仿宋" w:cs="仿宋"/>
        <w:b w:val="0"/>
        <w:bCs w:val="0"/>
        <w:i w:val="0"/>
        <w:iCs w:val="0"/>
        <w:spacing w:val="-2"/>
        <w:w w:val="100"/>
        <w:sz w:val="28"/>
        <w:szCs w:val="28"/>
      </w:rPr>
    </w:lvl>
    <w:lvl w:ilvl="3" w:tentative="0">
      <w:start w:val="0"/>
      <w:numFmt w:val="bullet"/>
      <w:lvlText w:val="•"/>
      <w:lvlJc w:val="left"/>
      <w:pPr>
        <w:ind w:left="1520" w:hanging="771"/>
      </w:pPr>
      <w:rPr>
        <w:rFonts w:hint="default"/>
      </w:rPr>
    </w:lvl>
    <w:lvl w:ilvl="4" w:tentative="0">
      <w:start w:val="0"/>
      <w:numFmt w:val="bullet"/>
      <w:lvlText w:val="•"/>
      <w:lvlJc w:val="left"/>
      <w:pPr>
        <w:ind w:left="2563" w:hanging="771"/>
      </w:pPr>
      <w:rPr>
        <w:rFonts w:hint="default"/>
      </w:rPr>
    </w:lvl>
    <w:lvl w:ilvl="5" w:tentative="0">
      <w:start w:val="0"/>
      <w:numFmt w:val="bullet"/>
      <w:lvlText w:val="•"/>
      <w:lvlJc w:val="left"/>
      <w:pPr>
        <w:ind w:left="3607" w:hanging="771"/>
      </w:pPr>
      <w:rPr>
        <w:rFonts w:hint="default"/>
      </w:rPr>
    </w:lvl>
    <w:lvl w:ilvl="6" w:tentative="0">
      <w:start w:val="0"/>
      <w:numFmt w:val="bullet"/>
      <w:lvlText w:val="•"/>
      <w:lvlJc w:val="left"/>
      <w:pPr>
        <w:ind w:left="4651" w:hanging="771"/>
      </w:pPr>
      <w:rPr>
        <w:rFonts w:hint="default"/>
      </w:rPr>
    </w:lvl>
    <w:lvl w:ilvl="7" w:tentative="0">
      <w:start w:val="0"/>
      <w:numFmt w:val="bullet"/>
      <w:lvlText w:val="•"/>
      <w:lvlJc w:val="left"/>
      <w:pPr>
        <w:ind w:left="5694" w:hanging="771"/>
      </w:pPr>
      <w:rPr>
        <w:rFonts w:hint="default"/>
      </w:rPr>
    </w:lvl>
    <w:lvl w:ilvl="8" w:tentative="0">
      <w:start w:val="0"/>
      <w:numFmt w:val="bullet"/>
      <w:lvlText w:val="•"/>
      <w:lvlJc w:val="left"/>
      <w:pPr>
        <w:ind w:left="6738" w:hanging="771"/>
      </w:pPr>
      <w:rPr>
        <w:rFonts w:hint="default"/>
      </w:rPr>
    </w:lvl>
  </w:abstractNum>
  <w:abstractNum w:abstractNumId="2">
    <w:nsid w:val="21311ABE"/>
    <w:multiLevelType w:val="multilevel"/>
    <w:tmpl w:val="21311ABE"/>
    <w:lvl w:ilvl="0" w:tentative="0">
      <w:start w:val="1"/>
      <w:numFmt w:val="decimal"/>
      <w:lvlText w:val="[%1]"/>
      <w:lvlJc w:val="left"/>
      <w:pPr>
        <w:ind w:left="1164" w:hanging="526"/>
      </w:pPr>
      <w:rPr>
        <w:rFonts w:hint="default" w:ascii="宋体" w:hAnsi="宋体" w:eastAsia="宋体" w:cs="宋体"/>
        <w:b w:val="0"/>
        <w:bCs w:val="0"/>
        <w:i w:val="0"/>
        <w:iCs w:val="0"/>
        <w:spacing w:val="0"/>
        <w:w w:val="99"/>
        <w:sz w:val="21"/>
        <w:szCs w:val="21"/>
      </w:rPr>
    </w:lvl>
    <w:lvl w:ilvl="1" w:tentative="0">
      <w:start w:val="0"/>
      <w:numFmt w:val="bullet"/>
      <w:lvlText w:val="•"/>
      <w:lvlJc w:val="left"/>
      <w:pPr>
        <w:ind w:left="2042" w:hanging="526"/>
      </w:pPr>
      <w:rPr>
        <w:rFonts w:hint="default"/>
      </w:rPr>
    </w:lvl>
    <w:lvl w:ilvl="2" w:tentative="0">
      <w:start w:val="0"/>
      <w:numFmt w:val="bullet"/>
      <w:lvlText w:val="•"/>
      <w:lvlJc w:val="left"/>
      <w:pPr>
        <w:ind w:left="2925" w:hanging="526"/>
      </w:pPr>
      <w:rPr>
        <w:rFonts w:hint="default"/>
      </w:rPr>
    </w:lvl>
    <w:lvl w:ilvl="3" w:tentative="0">
      <w:start w:val="0"/>
      <w:numFmt w:val="bullet"/>
      <w:lvlText w:val="•"/>
      <w:lvlJc w:val="left"/>
      <w:pPr>
        <w:ind w:left="3807" w:hanging="526"/>
      </w:pPr>
      <w:rPr>
        <w:rFonts w:hint="default"/>
      </w:rPr>
    </w:lvl>
    <w:lvl w:ilvl="4" w:tentative="0">
      <w:start w:val="0"/>
      <w:numFmt w:val="bullet"/>
      <w:lvlText w:val="•"/>
      <w:lvlJc w:val="left"/>
      <w:pPr>
        <w:ind w:left="4690" w:hanging="526"/>
      </w:pPr>
      <w:rPr>
        <w:rFonts w:hint="default"/>
      </w:rPr>
    </w:lvl>
    <w:lvl w:ilvl="5" w:tentative="0">
      <w:start w:val="0"/>
      <w:numFmt w:val="bullet"/>
      <w:lvlText w:val="•"/>
      <w:lvlJc w:val="left"/>
      <w:pPr>
        <w:ind w:left="5573" w:hanging="526"/>
      </w:pPr>
      <w:rPr>
        <w:rFonts w:hint="default"/>
      </w:rPr>
    </w:lvl>
    <w:lvl w:ilvl="6" w:tentative="0">
      <w:start w:val="0"/>
      <w:numFmt w:val="bullet"/>
      <w:lvlText w:val="•"/>
      <w:lvlJc w:val="left"/>
      <w:pPr>
        <w:ind w:left="6455" w:hanging="526"/>
      </w:pPr>
      <w:rPr>
        <w:rFonts w:hint="default"/>
      </w:rPr>
    </w:lvl>
    <w:lvl w:ilvl="7" w:tentative="0">
      <w:start w:val="0"/>
      <w:numFmt w:val="bullet"/>
      <w:lvlText w:val="•"/>
      <w:lvlJc w:val="left"/>
      <w:pPr>
        <w:ind w:left="7338" w:hanging="526"/>
      </w:pPr>
      <w:rPr>
        <w:rFonts w:hint="default"/>
      </w:rPr>
    </w:lvl>
    <w:lvl w:ilvl="8" w:tentative="0">
      <w:start w:val="0"/>
      <w:numFmt w:val="bullet"/>
      <w:lvlText w:val="•"/>
      <w:lvlJc w:val="left"/>
      <w:pPr>
        <w:ind w:left="8220" w:hanging="526"/>
      </w:pPr>
      <w:rPr>
        <w:rFonts w:hint="default"/>
      </w:rPr>
    </w:lvl>
  </w:abstractNum>
  <w:abstractNum w:abstractNumId="3">
    <w:nsid w:val="38357F2B"/>
    <w:multiLevelType w:val="multilevel"/>
    <w:tmpl w:val="38357F2B"/>
    <w:lvl w:ilvl="0" w:tentative="0">
      <w:start w:val="1"/>
      <w:numFmt w:val="decimal"/>
      <w:lvlText w:val="%1."/>
      <w:lvlJc w:val="left"/>
      <w:pPr>
        <w:ind w:left="959" w:hanging="284"/>
      </w:pPr>
      <w:rPr>
        <w:rFonts w:hint="default" w:ascii="黑体" w:hAnsi="黑体" w:eastAsia="黑体" w:cs="黑体"/>
        <w:b w:val="0"/>
        <w:bCs w:val="0"/>
        <w:i w:val="0"/>
        <w:iCs w:val="0"/>
        <w:spacing w:val="-2"/>
        <w:w w:val="100"/>
        <w:sz w:val="26"/>
        <w:szCs w:val="26"/>
      </w:rPr>
    </w:lvl>
    <w:lvl w:ilvl="1" w:tentative="0">
      <w:start w:val="0"/>
      <w:numFmt w:val="bullet"/>
      <w:lvlText w:val="•"/>
      <w:lvlJc w:val="left"/>
      <w:pPr>
        <w:ind w:left="1746" w:hanging="284"/>
      </w:pPr>
      <w:rPr>
        <w:rFonts w:hint="default"/>
      </w:rPr>
    </w:lvl>
    <w:lvl w:ilvl="2" w:tentative="0">
      <w:start w:val="0"/>
      <w:numFmt w:val="bullet"/>
      <w:lvlText w:val="•"/>
      <w:lvlJc w:val="left"/>
      <w:pPr>
        <w:ind w:left="2533" w:hanging="284"/>
      </w:pPr>
      <w:rPr>
        <w:rFonts w:hint="default"/>
      </w:rPr>
    </w:lvl>
    <w:lvl w:ilvl="3" w:tentative="0">
      <w:start w:val="0"/>
      <w:numFmt w:val="bullet"/>
      <w:lvlText w:val="•"/>
      <w:lvlJc w:val="left"/>
      <w:pPr>
        <w:ind w:left="3319" w:hanging="284"/>
      </w:pPr>
      <w:rPr>
        <w:rFonts w:hint="default"/>
      </w:rPr>
    </w:lvl>
    <w:lvl w:ilvl="4" w:tentative="0">
      <w:start w:val="0"/>
      <w:numFmt w:val="bullet"/>
      <w:lvlText w:val="•"/>
      <w:lvlJc w:val="left"/>
      <w:pPr>
        <w:ind w:left="4106" w:hanging="284"/>
      </w:pPr>
      <w:rPr>
        <w:rFonts w:hint="default"/>
      </w:rPr>
    </w:lvl>
    <w:lvl w:ilvl="5" w:tentative="0">
      <w:start w:val="0"/>
      <w:numFmt w:val="bullet"/>
      <w:lvlText w:val="•"/>
      <w:lvlJc w:val="left"/>
      <w:pPr>
        <w:ind w:left="4893" w:hanging="284"/>
      </w:pPr>
      <w:rPr>
        <w:rFonts w:hint="default"/>
      </w:rPr>
    </w:lvl>
    <w:lvl w:ilvl="6" w:tentative="0">
      <w:start w:val="0"/>
      <w:numFmt w:val="bullet"/>
      <w:lvlText w:val="•"/>
      <w:lvlJc w:val="left"/>
      <w:pPr>
        <w:ind w:left="5679" w:hanging="284"/>
      </w:pPr>
      <w:rPr>
        <w:rFonts w:hint="default"/>
      </w:rPr>
    </w:lvl>
    <w:lvl w:ilvl="7" w:tentative="0">
      <w:start w:val="0"/>
      <w:numFmt w:val="bullet"/>
      <w:lvlText w:val="•"/>
      <w:lvlJc w:val="left"/>
      <w:pPr>
        <w:ind w:left="6466" w:hanging="284"/>
      </w:pPr>
      <w:rPr>
        <w:rFonts w:hint="default"/>
      </w:rPr>
    </w:lvl>
    <w:lvl w:ilvl="8" w:tentative="0">
      <w:start w:val="0"/>
      <w:numFmt w:val="bullet"/>
      <w:lvlText w:val="•"/>
      <w:lvlJc w:val="left"/>
      <w:pPr>
        <w:ind w:left="7252" w:hanging="284"/>
      </w:pPr>
      <w:rPr>
        <w:rFonts w:hint="default"/>
      </w:rPr>
    </w:lvl>
  </w:abstractNum>
  <w:abstractNum w:abstractNumId="4">
    <w:nsid w:val="580D2D90"/>
    <w:multiLevelType w:val="multilevel"/>
    <w:tmpl w:val="580D2D90"/>
    <w:lvl w:ilvl="0" w:tentative="0">
      <w:start w:val="1"/>
      <w:numFmt w:val="decimal"/>
      <w:lvlText w:val="%1"/>
      <w:lvlJc w:val="left"/>
      <w:pPr>
        <w:ind w:left="1236" w:hanging="560"/>
      </w:pPr>
      <w:rPr>
        <w:rFonts w:hint="default"/>
      </w:rPr>
    </w:lvl>
    <w:lvl w:ilvl="1" w:tentative="0">
      <w:start w:val="1"/>
      <w:numFmt w:val="decimal"/>
      <w:lvlText w:val="%1.%2"/>
      <w:lvlJc w:val="left"/>
      <w:pPr>
        <w:ind w:left="1236" w:hanging="560"/>
      </w:pPr>
      <w:rPr>
        <w:rFonts w:hint="default" w:ascii="仿宋" w:hAnsi="仿宋" w:eastAsia="仿宋" w:cs="仿宋"/>
        <w:b w:val="0"/>
        <w:bCs w:val="0"/>
        <w:i w:val="0"/>
        <w:iCs w:val="0"/>
        <w:spacing w:val="-2"/>
        <w:w w:val="100"/>
        <w:sz w:val="28"/>
        <w:szCs w:val="28"/>
      </w:rPr>
    </w:lvl>
    <w:lvl w:ilvl="2" w:tentative="0">
      <w:start w:val="0"/>
      <w:numFmt w:val="bullet"/>
      <w:lvlText w:val="•"/>
      <w:lvlJc w:val="left"/>
      <w:pPr>
        <w:ind w:left="2757" w:hanging="560"/>
      </w:pPr>
      <w:rPr>
        <w:rFonts w:hint="default"/>
      </w:rPr>
    </w:lvl>
    <w:lvl w:ilvl="3" w:tentative="0">
      <w:start w:val="0"/>
      <w:numFmt w:val="bullet"/>
      <w:lvlText w:val="•"/>
      <w:lvlJc w:val="left"/>
      <w:pPr>
        <w:ind w:left="3515" w:hanging="560"/>
      </w:pPr>
      <w:rPr>
        <w:rFonts w:hint="default"/>
      </w:rPr>
    </w:lvl>
    <w:lvl w:ilvl="4" w:tentative="0">
      <w:start w:val="0"/>
      <w:numFmt w:val="bullet"/>
      <w:lvlText w:val="•"/>
      <w:lvlJc w:val="left"/>
      <w:pPr>
        <w:ind w:left="4274" w:hanging="560"/>
      </w:pPr>
      <w:rPr>
        <w:rFonts w:hint="default"/>
      </w:rPr>
    </w:lvl>
    <w:lvl w:ilvl="5" w:tentative="0">
      <w:start w:val="0"/>
      <w:numFmt w:val="bullet"/>
      <w:lvlText w:val="•"/>
      <w:lvlJc w:val="left"/>
      <w:pPr>
        <w:ind w:left="5033" w:hanging="560"/>
      </w:pPr>
      <w:rPr>
        <w:rFonts w:hint="default"/>
      </w:rPr>
    </w:lvl>
    <w:lvl w:ilvl="6" w:tentative="0">
      <w:start w:val="0"/>
      <w:numFmt w:val="bullet"/>
      <w:lvlText w:val="•"/>
      <w:lvlJc w:val="left"/>
      <w:pPr>
        <w:ind w:left="5791" w:hanging="560"/>
      </w:pPr>
      <w:rPr>
        <w:rFonts w:hint="default"/>
      </w:rPr>
    </w:lvl>
    <w:lvl w:ilvl="7" w:tentative="0">
      <w:start w:val="0"/>
      <w:numFmt w:val="bullet"/>
      <w:lvlText w:val="•"/>
      <w:lvlJc w:val="left"/>
      <w:pPr>
        <w:ind w:left="6550" w:hanging="560"/>
      </w:pPr>
      <w:rPr>
        <w:rFonts w:hint="default"/>
      </w:rPr>
    </w:lvl>
    <w:lvl w:ilvl="8" w:tentative="0">
      <w:start w:val="0"/>
      <w:numFmt w:val="bullet"/>
      <w:lvlText w:val="•"/>
      <w:lvlJc w:val="left"/>
      <w:pPr>
        <w:ind w:left="7308" w:hanging="560"/>
      </w:pPr>
      <w:rPr>
        <w:rFonts w:hint="default"/>
      </w:rPr>
    </w:lvl>
  </w:abstractNum>
  <w:abstractNum w:abstractNumId="5">
    <w:nsid w:val="70402275"/>
    <w:multiLevelType w:val="multilevel"/>
    <w:tmpl w:val="70402275"/>
    <w:lvl w:ilvl="0" w:tentative="0">
      <w:start w:val="1"/>
      <w:numFmt w:val="decimal"/>
      <w:pStyle w:val="24"/>
      <w:lvlText w:val="%1"/>
      <w:lvlJc w:val="left"/>
      <w:pPr>
        <w:ind w:left="420" w:hanging="420"/>
      </w:pPr>
      <w:rPr>
        <w:rFonts w:hint="eastAsia" w:ascii="黑体" w:hAnsi="黑体" w:eastAsia="黑体"/>
      </w:rPr>
    </w:lvl>
    <w:lvl w:ilvl="1" w:tentative="0">
      <w:start w:val="1"/>
      <w:numFmt w:val="decimal"/>
      <w:lvlText w:val="%1.%2"/>
      <w:lvlJc w:val="left"/>
      <w:pPr>
        <w:ind w:left="840" w:hanging="420"/>
      </w:pPr>
      <w:rPr>
        <w:rFonts w:hint="eastAsia" w:ascii="黑体" w:hAnsi="黑体" w:eastAsia="黑体"/>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5"/>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liODI5ZTI0MGFhNzY1MTUyYTMyZDZiN2NjNDBlYTQifQ=="/>
  </w:docVars>
  <w:rsids>
    <w:rsidRoot w:val="00362401"/>
    <w:rsid w:val="0000555B"/>
    <w:rsid w:val="000606D1"/>
    <w:rsid w:val="000647E0"/>
    <w:rsid w:val="000652B0"/>
    <w:rsid w:val="000F1DF6"/>
    <w:rsid w:val="00113B69"/>
    <w:rsid w:val="00152A6D"/>
    <w:rsid w:val="001608F9"/>
    <w:rsid w:val="001834B2"/>
    <w:rsid w:val="001C4FC4"/>
    <w:rsid w:val="00215F6E"/>
    <w:rsid w:val="00245AF7"/>
    <w:rsid w:val="00257BA1"/>
    <w:rsid w:val="002B0FB5"/>
    <w:rsid w:val="002C4609"/>
    <w:rsid w:val="002D6B1F"/>
    <w:rsid w:val="002E6B68"/>
    <w:rsid w:val="00344028"/>
    <w:rsid w:val="00362401"/>
    <w:rsid w:val="00381AA2"/>
    <w:rsid w:val="003A72A3"/>
    <w:rsid w:val="003B357A"/>
    <w:rsid w:val="003D1018"/>
    <w:rsid w:val="00453C54"/>
    <w:rsid w:val="00460086"/>
    <w:rsid w:val="00462AE6"/>
    <w:rsid w:val="0048113F"/>
    <w:rsid w:val="00492811"/>
    <w:rsid w:val="00495358"/>
    <w:rsid w:val="004A7CEB"/>
    <w:rsid w:val="004B18C9"/>
    <w:rsid w:val="004C1328"/>
    <w:rsid w:val="004D069C"/>
    <w:rsid w:val="0050310A"/>
    <w:rsid w:val="00531CEA"/>
    <w:rsid w:val="00545DD7"/>
    <w:rsid w:val="005A0B96"/>
    <w:rsid w:val="005B6EA2"/>
    <w:rsid w:val="006172A0"/>
    <w:rsid w:val="00636990"/>
    <w:rsid w:val="006728DB"/>
    <w:rsid w:val="0067751E"/>
    <w:rsid w:val="006B12C2"/>
    <w:rsid w:val="006C4851"/>
    <w:rsid w:val="006F6606"/>
    <w:rsid w:val="007227AD"/>
    <w:rsid w:val="00753276"/>
    <w:rsid w:val="00796AC9"/>
    <w:rsid w:val="007A4BEE"/>
    <w:rsid w:val="007A7661"/>
    <w:rsid w:val="007B0FA8"/>
    <w:rsid w:val="007B3E92"/>
    <w:rsid w:val="00807CF8"/>
    <w:rsid w:val="008352C4"/>
    <w:rsid w:val="008869DF"/>
    <w:rsid w:val="008A2D6A"/>
    <w:rsid w:val="008C216A"/>
    <w:rsid w:val="008D0FFE"/>
    <w:rsid w:val="008F2CFD"/>
    <w:rsid w:val="00925B0E"/>
    <w:rsid w:val="00990A55"/>
    <w:rsid w:val="009A641C"/>
    <w:rsid w:val="009B64B8"/>
    <w:rsid w:val="009D4136"/>
    <w:rsid w:val="009D790F"/>
    <w:rsid w:val="009F7279"/>
    <w:rsid w:val="00A04DF6"/>
    <w:rsid w:val="00A23222"/>
    <w:rsid w:val="00A322CD"/>
    <w:rsid w:val="00A54132"/>
    <w:rsid w:val="00A81C28"/>
    <w:rsid w:val="00A82D2F"/>
    <w:rsid w:val="00B20248"/>
    <w:rsid w:val="00B23E09"/>
    <w:rsid w:val="00B31EBB"/>
    <w:rsid w:val="00B3531A"/>
    <w:rsid w:val="00B70B4B"/>
    <w:rsid w:val="00BB7853"/>
    <w:rsid w:val="00BC463F"/>
    <w:rsid w:val="00BD673F"/>
    <w:rsid w:val="00BF1DD5"/>
    <w:rsid w:val="00C21442"/>
    <w:rsid w:val="00C36526"/>
    <w:rsid w:val="00C51076"/>
    <w:rsid w:val="00CA0078"/>
    <w:rsid w:val="00CD75EB"/>
    <w:rsid w:val="00D164D1"/>
    <w:rsid w:val="00D30BFD"/>
    <w:rsid w:val="00D365A2"/>
    <w:rsid w:val="00D54378"/>
    <w:rsid w:val="00DB6F35"/>
    <w:rsid w:val="00DC3FE1"/>
    <w:rsid w:val="00DE27F4"/>
    <w:rsid w:val="00E03A0B"/>
    <w:rsid w:val="00E13456"/>
    <w:rsid w:val="00E301C9"/>
    <w:rsid w:val="00E303B7"/>
    <w:rsid w:val="00E30F1B"/>
    <w:rsid w:val="00E96555"/>
    <w:rsid w:val="00EA68E2"/>
    <w:rsid w:val="00F03CA6"/>
    <w:rsid w:val="00F4551C"/>
    <w:rsid w:val="00F50D05"/>
    <w:rsid w:val="00F50F65"/>
    <w:rsid w:val="00F772BF"/>
    <w:rsid w:val="00F97ABE"/>
    <w:rsid w:val="00FF496A"/>
    <w:rsid w:val="04DA0918"/>
    <w:rsid w:val="0DFC06F8"/>
    <w:rsid w:val="27A2470D"/>
    <w:rsid w:val="29C15A38"/>
    <w:rsid w:val="2A873B84"/>
    <w:rsid w:val="35AD3104"/>
    <w:rsid w:val="5714714F"/>
    <w:rsid w:val="5FD25295"/>
    <w:rsid w:val="6EED4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39" w:semiHidden="0"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en-US"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toc 7"/>
    <w:basedOn w:val="1"/>
    <w:next w:val="1"/>
    <w:qFormat/>
    <w:uiPriority w:val="39"/>
    <w:pPr>
      <w:autoSpaceDE/>
      <w:autoSpaceDN/>
      <w:ind w:left="1260"/>
    </w:pPr>
    <w:rPr>
      <w:rFonts w:ascii="等线" w:hAnsi="Times New Roman" w:eastAsia="等线" w:cs="Times New Roman"/>
      <w:kern w:val="2"/>
      <w:sz w:val="18"/>
      <w:szCs w:val="18"/>
      <w:lang w:eastAsia="zh-CN"/>
    </w:rPr>
  </w:style>
  <w:style w:type="paragraph" w:styleId="3">
    <w:name w:val="annotation text"/>
    <w:basedOn w:val="1"/>
    <w:link w:val="23"/>
    <w:qFormat/>
    <w:uiPriority w:val="0"/>
    <w:pPr>
      <w:autoSpaceDE/>
      <w:autoSpaceDN/>
    </w:pPr>
    <w:rPr>
      <w:rFonts w:ascii="Times New Roman" w:hAnsi="Times New Roman" w:eastAsia="宋体" w:cs="Times New Roman"/>
      <w:sz w:val="20"/>
      <w:szCs w:val="24"/>
      <w:lang w:eastAsia="zh-CN"/>
    </w:rPr>
  </w:style>
  <w:style w:type="paragraph" w:styleId="4">
    <w:name w:val="Body Text"/>
    <w:basedOn w:val="1"/>
    <w:qFormat/>
    <w:uiPriority w:val="1"/>
    <w:rPr>
      <w:sz w:val="28"/>
      <w:szCs w:val="28"/>
    </w:rPr>
  </w:style>
  <w:style w:type="paragraph" w:styleId="5">
    <w:name w:val="Body Text Indent"/>
    <w:basedOn w:val="1"/>
    <w:link w:val="20"/>
    <w:semiHidden/>
    <w:unhideWhenUsed/>
    <w:qFormat/>
    <w:uiPriority w:val="0"/>
    <w:pPr>
      <w:autoSpaceDE/>
      <w:autoSpaceDN/>
      <w:spacing w:after="120"/>
      <w:ind w:left="420" w:leftChars="200"/>
      <w:jc w:val="both"/>
    </w:pPr>
    <w:rPr>
      <w:rFonts w:ascii="Calibri" w:hAnsi="Calibri" w:eastAsia="宋体" w:cs="Times New Roman"/>
      <w:kern w:val="2"/>
      <w:sz w:val="21"/>
      <w:szCs w:val="24"/>
      <w:lang w:eastAsia="zh-CN"/>
    </w:rPr>
  </w:style>
  <w:style w:type="paragraph" w:styleId="6">
    <w:name w:val="footer"/>
    <w:basedOn w:val="1"/>
    <w:link w:val="16"/>
    <w:unhideWhenUsed/>
    <w:qFormat/>
    <w:uiPriority w:val="99"/>
    <w:pPr>
      <w:tabs>
        <w:tab w:val="center" w:pos="4153"/>
        <w:tab w:val="right" w:pos="8306"/>
      </w:tabs>
      <w:snapToGrid w:val="0"/>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qFormat/>
    <w:uiPriority w:val="10"/>
    <w:pPr>
      <w:spacing w:before="28"/>
      <w:ind w:left="1533" w:right="1812"/>
      <w:jc w:val="center"/>
    </w:pPr>
    <w:rPr>
      <w:b/>
      <w:bCs/>
      <w:sz w:val="52"/>
      <w:szCs w:val="52"/>
    </w:rPr>
  </w:style>
  <w:style w:type="character" w:styleId="11">
    <w:name w:val="Strong"/>
    <w:basedOn w:val="10"/>
    <w:qFormat/>
    <w:uiPriority w:val="22"/>
    <w:rPr>
      <w:b/>
      <w:bCs/>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styleId="13">
    <w:name w:val="List Paragraph"/>
    <w:basedOn w:val="1"/>
    <w:qFormat/>
    <w:uiPriority w:val="34"/>
    <w:pPr>
      <w:spacing w:line="358" w:lineRule="exact"/>
      <w:ind w:left="1447" w:hanging="772"/>
    </w:pPr>
  </w:style>
  <w:style w:type="paragraph" w:customStyle="1" w:styleId="14">
    <w:name w:val="Table Paragraph"/>
    <w:basedOn w:val="1"/>
    <w:qFormat/>
    <w:uiPriority w:val="1"/>
  </w:style>
  <w:style w:type="character" w:customStyle="1" w:styleId="15">
    <w:name w:val="页眉 字符"/>
    <w:basedOn w:val="10"/>
    <w:link w:val="7"/>
    <w:qFormat/>
    <w:uiPriority w:val="99"/>
    <w:rPr>
      <w:rFonts w:ascii="仿宋" w:hAnsi="仿宋" w:eastAsia="仿宋" w:cs="仿宋"/>
      <w:sz w:val="18"/>
      <w:szCs w:val="18"/>
    </w:rPr>
  </w:style>
  <w:style w:type="character" w:customStyle="1" w:styleId="16">
    <w:name w:val="页脚 字符"/>
    <w:basedOn w:val="10"/>
    <w:link w:val="6"/>
    <w:qFormat/>
    <w:uiPriority w:val="99"/>
    <w:rPr>
      <w:rFonts w:ascii="仿宋" w:hAnsi="仿宋" w:eastAsia="仿宋" w:cs="仿宋"/>
      <w:sz w:val="18"/>
      <w:szCs w:val="18"/>
    </w:rPr>
  </w:style>
  <w:style w:type="paragraph" w:customStyle="1" w:styleId="17">
    <w:name w:val="段"/>
    <w:link w:val="1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8">
    <w:name w:val="段 Char"/>
    <w:link w:val="17"/>
    <w:qFormat/>
    <w:uiPriority w:val="0"/>
    <w:rPr>
      <w:rFonts w:ascii="宋体" w:hAnsi="Times New Roman" w:eastAsia="宋体" w:cs="Times New Roman"/>
      <w:sz w:val="21"/>
      <w:szCs w:val="20"/>
      <w:lang w:eastAsia="zh-CN"/>
    </w:rPr>
  </w:style>
  <w:style w:type="paragraph" w:customStyle="1" w:styleId="19">
    <w:name w:val="一级条标题"/>
    <w:next w:val="17"/>
    <w:qFormat/>
    <w:uiPriority w:val="0"/>
    <w:pPr>
      <w:spacing w:beforeLines="50" w:afterLines="50"/>
      <w:outlineLvl w:val="2"/>
    </w:pPr>
    <w:rPr>
      <w:rFonts w:ascii="黑体" w:hAnsi="Times New Roman" w:eastAsia="黑体" w:cs="Times New Roman"/>
      <w:sz w:val="21"/>
      <w:szCs w:val="21"/>
      <w:lang w:val="en-US" w:eastAsia="zh-CN" w:bidi="ar-SA"/>
    </w:rPr>
  </w:style>
  <w:style w:type="character" w:customStyle="1" w:styleId="20">
    <w:name w:val="正文文本缩进 字符"/>
    <w:basedOn w:val="10"/>
    <w:link w:val="5"/>
    <w:semiHidden/>
    <w:qFormat/>
    <w:uiPriority w:val="0"/>
    <w:rPr>
      <w:rFonts w:ascii="Calibri" w:hAnsi="Calibri" w:eastAsia="宋体" w:cs="Times New Roman"/>
      <w:kern w:val="2"/>
      <w:sz w:val="21"/>
      <w:szCs w:val="24"/>
      <w:lang w:eastAsia="zh-CN"/>
    </w:rPr>
  </w:style>
  <w:style w:type="paragraph" w:customStyle="1" w:styleId="21">
    <w:name w:val="修订1"/>
    <w:hidden/>
    <w:semiHidden/>
    <w:qFormat/>
    <w:uiPriority w:val="99"/>
    <w:rPr>
      <w:rFonts w:ascii="仿宋" w:hAnsi="仿宋" w:eastAsia="仿宋" w:cs="仿宋"/>
      <w:sz w:val="22"/>
      <w:szCs w:val="22"/>
      <w:lang w:val="en-US" w:eastAsia="en-US" w:bidi="ar-SA"/>
    </w:rPr>
  </w:style>
  <w:style w:type="character" w:customStyle="1" w:styleId="22">
    <w:name w:val="批注文字 字符"/>
    <w:basedOn w:val="10"/>
    <w:semiHidden/>
    <w:uiPriority w:val="99"/>
    <w:rPr>
      <w:rFonts w:ascii="仿宋" w:hAnsi="仿宋" w:eastAsia="仿宋" w:cs="仿宋"/>
      <w:sz w:val="22"/>
      <w:szCs w:val="22"/>
      <w:lang w:eastAsia="en-US"/>
    </w:rPr>
  </w:style>
  <w:style w:type="character" w:customStyle="1" w:styleId="23">
    <w:name w:val="批注文字 字符1"/>
    <w:link w:val="3"/>
    <w:qFormat/>
    <w:uiPriority w:val="0"/>
    <w:rPr>
      <w:rFonts w:ascii="Times New Roman" w:hAnsi="Times New Roman" w:eastAsia="宋体" w:cs="Times New Roman"/>
      <w:szCs w:val="24"/>
    </w:rPr>
  </w:style>
  <w:style w:type="paragraph" w:customStyle="1" w:styleId="24">
    <w:name w:val="标准标题"/>
    <w:basedOn w:val="1"/>
    <w:link w:val="25"/>
    <w:qFormat/>
    <w:uiPriority w:val="0"/>
    <w:pPr>
      <w:widowControl/>
      <w:numPr>
        <w:ilvl w:val="0"/>
        <w:numId w:val="1"/>
      </w:numPr>
      <w:autoSpaceDE/>
      <w:autoSpaceDN/>
      <w:spacing w:before="240" w:beforeLines="100" w:after="240" w:afterLines="100" w:line="360" w:lineRule="auto"/>
      <w:jc w:val="both"/>
      <w:outlineLvl w:val="0"/>
    </w:pPr>
    <w:rPr>
      <w:rFonts w:ascii="Times New Roman" w:hAnsi="Times New Roman" w:eastAsia="黑体" w:cs="Times New Roman"/>
      <w:color w:val="000000" w:themeColor="text1"/>
      <w:sz w:val="21"/>
      <w:szCs w:val="21"/>
      <w:lang w:eastAsia="zh-CN"/>
      <w14:textFill>
        <w14:solidFill>
          <w14:schemeClr w14:val="tx1"/>
        </w14:solidFill>
      </w14:textFill>
    </w:rPr>
  </w:style>
  <w:style w:type="character" w:customStyle="1" w:styleId="25">
    <w:name w:val="标准标题 字符"/>
    <w:basedOn w:val="10"/>
    <w:link w:val="24"/>
    <w:qFormat/>
    <w:uiPriority w:val="0"/>
    <w:rPr>
      <w:rFonts w:ascii="Times New Roman" w:hAnsi="Times New Roman" w:eastAsia="黑体" w:cs="Times New Roman"/>
      <w:color w:val="000000" w:themeColor="text1"/>
      <w:sz w:val="21"/>
      <w:szCs w:val="21"/>
      <w14:textFill>
        <w14:solidFill>
          <w14:schemeClr w14:val="tx1"/>
        </w14:solidFill>
      </w14:textFill>
    </w:rPr>
  </w:style>
  <w:style w:type="paragraph" w:customStyle="1" w:styleId="26">
    <w:name w:val="正文4"/>
    <w:basedOn w:val="1"/>
    <w:qFormat/>
    <w:uiPriority w:val="0"/>
    <w:pPr>
      <w:numPr>
        <w:ilvl w:val="0"/>
        <w:numId w:val="2"/>
      </w:numPr>
      <w:tabs>
        <w:tab w:val="left" w:pos="520"/>
      </w:tabs>
      <w:autoSpaceDE/>
      <w:autoSpaceDN/>
      <w:spacing w:before="60" w:after="60" w:line="360" w:lineRule="auto"/>
      <w:ind w:left="820" w:leftChars="400"/>
      <w:jc w:val="both"/>
    </w:pPr>
    <w:rPr>
      <w:rFonts w:ascii="Times New Roman" w:hAnsi="Times New Roman" w:eastAsia="宋体" w:cs="Times New Roman"/>
      <w:kern w:val="2"/>
      <w:sz w:val="24"/>
      <w:szCs w:val="24"/>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916</Words>
  <Characters>5222</Characters>
  <Lines>43</Lines>
  <Paragraphs>12</Paragraphs>
  <TotalTime>1</TotalTime>
  <ScaleCrop>false</ScaleCrop>
  <LinksUpToDate>false</LinksUpToDate>
  <CharactersWithSpaces>6126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2026-05-20T02:08:00Z</dcterms:created>
  <dc:creator>yaoyue</dc:creator>
  <cp:lastModifiedBy>姚晓捷</cp:lastModifiedBy>
  <dcterms:modified xsi:type="dcterms:W3CDTF">2026-05-20T06:40:11Z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2025-03-20T00:00:00Z</vt:filetime>
  </property>
  <property fmtid="{D5CDD505-2E9C-101B-9397-08002B2CF9AE}" pid="3" name="Creator">
    <vt:lpwstr>WPS 文字</vt:lpwstr>
  </property>
  <property fmtid="{D5CDD505-2E9C-101B-9397-08002B2CF9AE}" pid="4" name="LastSaved">
    <vt:filetime>2025-03-25T00:00:00Z</vt:filetime>
  </property>
  <property fmtid="{D5CDD505-2E9C-101B-9397-08002B2CF9AE}" pid="5" name="KSOProductBuildVer">
    <vt:lpwstr>2052-12.1.0.15990</vt:lpwstr>
  </property>
  <property fmtid="{D5CDD505-2E9C-101B-9397-08002B2CF9AE}" pid="6" name="ICV">
    <vt:lpwstr>88CB19EF9BC2434FB02C9F40B4E6F3B4_12</vt:lpwstr>
  </property>
</Properties>
</file>